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1520" w14:textId="387DF1BA" w:rsidR="00D620AC" w:rsidRPr="007D2DCE" w:rsidRDefault="00D620AC" w:rsidP="00A55BA0">
      <w:pPr>
        <w:pStyle w:val="a3"/>
        <w:jc w:val="both"/>
      </w:pPr>
      <w:r w:rsidRPr="007D2DCE">
        <w:rPr>
          <w:i/>
          <w:color w:val="FF0000"/>
        </w:rPr>
        <w:t>Приложение 8 изложено в редакции решения Совета директоров Фонда от 26.12.2023г. №37</w:t>
      </w:r>
      <w:r w:rsidR="00DB1011" w:rsidRPr="007D2DCE">
        <w:rPr>
          <w:i/>
          <w:color w:val="FF0000"/>
        </w:rPr>
        <w:t xml:space="preserve"> (вводится в действие с 01.01.2024г.)</w:t>
      </w:r>
      <w:r w:rsidR="00540D41" w:rsidRPr="007D2DCE">
        <w:rPr>
          <w:i/>
          <w:color w:val="FF0000"/>
        </w:rPr>
        <w:t>; в редакции решения Совета директоров Фонда от 10.05.2024г. №11 (вводится в действие с 10.05.2024г.)</w:t>
      </w:r>
      <w:r w:rsidR="006D01CE" w:rsidRPr="007D2DCE">
        <w:rPr>
          <w:i/>
          <w:color w:val="FF0000"/>
        </w:rPr>
        <w:t>, внесены изменения в соответствии с решением Совета директоров Фонда от 14.02.2025 г. №2 (вводится в действие с 01.04.2025 г.)</w:t>
      </w:r>
    </w:p>
    <w:p w14:paraId="06663F5A" w14:textId="77777777" w:rsidR="00D620AC" w:rsidRPr="007D2DCE" w:rsidRDefault="00D620AC" w:rsidP="00973132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14:paraId="3CDDCACC" w14:textId="77777777" w:rsidR="00973132" w:rsidRPr="007D2DCE" w:rsidRDefault="00973132" w:rsidP="005D474B">
      <w:pPr>
        <w:spacing w:after="0" w:line="20" w:lineRule="atLeast"/>
        <w:ind w:left="4961"/>
        <w:jc w:val="both"/>
        <w:rPr>
          <w:rFonts w:ascii="Times New Roman" w:hAnsi="Times New Roman"/>
          <w:sz w:val="24"/>
          <w:szCs w:val="24"/>
        </w:rPr>
      </w:pPr>
      <w:r w:rsidRPr="007D2DCE">
        <w:rPr>
          <w:rFonts w:ascii="Times New Roman" w:hAnsi="Times New Roman"/>
          <w:sz w:val="24"/>
          <w:szCs w:val="24"/>
        </w:rPr>
        <w:t>Приложение 8</w:t>
      </w:r>
    </w:p>
    <w:p w14:paraId="28304B32" w14:textId="699985C9" w:rsidR="00973132" w:rsidRPr="007D2DCE" w:rsidRDefault="00973132" w:rsidP="005D474B">
      <w:pPr>
        <w:pStyle w:val="a3"/>
        <w:spacing w:line="20" w:lineRule="atLeast"/>
        <w:ind w:left="4961"/>
        <w:jc w:val="both"/>
      </w:pPr>
      <w:r w:rsidRPr="007D2DCE">
        <w:t xml:space="preserve">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</w:t>
      </w:r>
      <w:r w:rsidR="00A55BA0" w:rsidRPr="007D2DCE">
        <w:t xml:space="preserve">                                  </w:t>
      </w:r>
      <w:r w:rsidRPr="007D2DCE">
        <w:t>АО «Казахстанский фонд гарантирования   депозитов»</w:t>
      </w:r>
      <w:r w:rsidR="00A55BA0" w:rsidRPr="007D2DCE">
        <w:t xml:space="preserve"> </w:t>
      </w:r>
      <w:r w:rsidRPr="007D2DCE">
        <w:t>от 09 июля 2021 года №18</w:t>
      </w:r>
    </w:p>
    <w:p w14:paraId="6E00986B" w14:textId="77777777" w:rsidR="00A55BA0" w:rsidRPr="007D2DCE" w:rsidRDefault="00A55BA0" w:rsidP="00973132">
      <w:pPr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C18279" w14:textId="4BDCBB0C" w:rsidR="00973132" w:rsidRPr="007D2DCE" w:rsidRDefault="00973132" w:rsidP="00973132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D2DCE">
        <w:rPr>
          <w:rFonts w:ascii="Times New Roman" w:hAnsi="Times New Roman"/>
          <w:color w:val="000000"/>
          <w:sz w:val="24"/>
          <w:szCs w:val="24"/>
        </w:rPr>
        <w:t xml:space="preserve">Форма </w:t>
      </w:r>
    </w:p>
    <w:p w14:paraId="5E423001" w14:textId="77777777" w:rsidR="00B31B90" w:rsidRPr="007D2DCE" w:rsidRDefault="00973132" w:rsidP="00B31B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2DCE">
        <w:rPr>
          <w:rFonts w:ascii="Times New Roman" w:hAnsi="Times New Roman"/>
          <w:b/>
          <w:color w:val="000000"/>
          <w:sz w:val="24"/>
          <w:szCs w:val="24"/>
        </w:rPr>
        <w:t xml:space="preserve">Уведомление о размере взноса за системный риск </w:t>
      </w:r>
      <w:bookmarkStart w:id="0" w:name="_Hlk185425606"/>
    </w:p>
    <w:p w14:paraId="1DB73679" w14:textId="508D7805" w:rsidR="00973132" w:rsidRPr="007D2DCE" w:rsidRDefault="00B31B90" w:rsidP="00B31B9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2DCE">
        <w:rPr>
          <w:rFonts w:ascii="Times New Roman" w:hAnsi="Times New Roman"/>
          <w:b/>
          <w:color w:val="000000"/>
          <w:sz w:val="24"/>
          <w:szCs w:val="24"/>
        </w:rPr>
        <w:t>и о размере повышенного взноса за превышение предельных ставок</w:t>
      </w:r>
      <w:bookmarkEnd w:id="0"/>
    </w:p>
    <w:p w14:paraId="18B1839F" w14:textId="08610F64" w:rsidR="00973132" w:rsidRPr="007D2DCE" w:rsidRDefault="00B31B90" w:rsidP="00B31B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2DCE">
        <w:rPr>
          <w:rFonts w:ascii="Times New Roman" w:hAnsi="Times New Roman"/>
          <w:b/>
          <w:color w:val="000000"/>
          <w:sz w:val="24"/>
          <w:szCs w:val="24"/>
        </w:rPr>
        <w:t>_____</w:t>
      </w:r>
      <w:r w:rsidR="00973132" w:rsidRPr="007D2DCE">
        <w:rPr>
          <w:rFonts w:ascii="Times New Roman" w:hAnsi="Times New Roman"/>
          <w:b/>
          <w:color w:val="000000"/>
          <w:sz w:val="24"/>
          <w:szCs w:val="24"/>
        </w:rPr>
        <w:t>________________________ за _____________ _____ года</w:t>
      </w:r>
    </w:p>
    <w:p w14:paraId="6D131F0F" w14:textId="7E26587A" w:rsidR="00973132" w:rsidRPr="007D2DCE" w:rsidRDefault="00973132" w:rsidP="00973132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D2DCE">
        <w:rPr>
          <w:rFonts w:ascii="Times New Roman" w:hAnsi="Times New Roman"/>
          <w:color w:val="000000"/>
          <w:sz w:val="24"/>
          <w:szCs w:val="24"/>
        </w:rPr>
        <w:t xml:space="preserve">                   (наименование банка-</w:t>
      </w:r>
      <w:proofErr w:type="gramStart"/>
      <w:r w:rsidRPr="007D2DCE">
        <w:rPr>
          <w:rFonts w:ascii="Times New Roman" w:hAnsi="Times New Roman"/>
          <w:color w:val="000000"/>
          <w:sz w:val="24"/>
          <w:szCs w:val="24"/>
        </w:rPr>
        <w:t xml:space="preserve">участника)   </w:t>
      </w:r>
      <w:proofErr w:type="gramEnd"/>
      <w:r w:rsidRPr="007D2DC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31B90" w:rsidRPr="007D2DC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D2DCE">
        <w:rPr>
          <w:rFonts w:ascii="Times New Roman" w:hAnsi="Times New Roman"/>
          <w:color w:val="000000"/>
          <w:sz w:val="24"/>
          <w:szCs w:val="24"/>
        </w:rPr>
        <w:t xml:space="preserve">    (месяц)</w:t>
      </w:r>
    </w:p>
    <w:tbl>
      <w:tblPr>
        <w:tblW w:w="10632" w:type="dxa"/>
        <w:tblInd w:w="-86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2"/>
        <w:gridCol w:w="1222"/>
        <w:gridCol w:w="1362"/>
        <w:gridCol w:w="1367"/>
        <w:gridCol w:w="950"/>
        <w:gridCol w:w="1318"/>
        <w:gridCol w:w="1123"/>
        <w:gridCol w:w="1428"/>
      </w:tblGrid>
      <w:tr w:rsidR="00B31B90" w:rsidRPr="007D2DCE" w14:paraId="69747F11" w14:textId="750B83C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89361E" w14:textId="73BF09BE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D2DCE">
              <w:rPr>
                <w:rFonts w:ascii="Times New Roman" w:hAnsi="Times New Roman"/>
                <w:b/>
                <w:bCs/>
              </w:rPr>
              <w:t xml:space="preserve">Группа вкладов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E03C6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D2DCE">
              <w:rPr>
                <w:rFonts w:ascii="Times New Roman" w:hAnsi="Times New Roman"/>
              </w:rPr>
              <w:t>Ставка привлечения банком, %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13ABE7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Объем привлечения банком, в тенге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6A91D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Совокупный объем привлечения по рынку, в тенге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82A277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D2DCE">
              <w:rPr>
                <w:rFonts w:ascii="Times New Roman" w:hAnsi="Times New Roman"/>
              </w:rPr>
              <w:t>Рыночная ставка, %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F7C69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Взнос за системный риск, в тенге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8D9A3" w14:textId="25BC29E6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Предельная ставка, %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B27DB" w14:textId="3EA02D8D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Повышенный взнос, в тенге</w:t>
            </w:r>
          </w:p>
        </w:tc>
      </w:tr>
      <w:tr w:rsidR="00B31B90" w:rsidRPr="007D2DCE" w14:paraId="35F574FD" w14:textId="6DC4F02C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3B8E7C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7D2DC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606AF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7D2DC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B4708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7D2DC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0E77A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lang w:val="en-US"/>
              </w:rPr>
            </w:pPr>
            <w:r w:rsidRPr="007D2DC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6D30E6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5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F9D1E1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 xml:space="preserve">6 = </w:t>
            </w:r>
            <w:r w:rsidRPr="007D2DCE">
              <w:rPr>
                <w:rFonts w:ascii="Times New Roman" w:hAnsi="Times New Roman"/>
                <w:lang w:val="en-US"/>
              </w:rPr>
              <w:t>b*3*(2-</w:t>
            </w:r>
            <w:r w:rsidRPr="007D2DCE">
              <w:rPr>
                <w:rFonts w:ascii="Times New Roman" w:hAnsi="Times New Roman"/>
              </w:rPr>
              <w:t>5</w:t>
            </w:r>
            <w:r w:rsidRPr="007D2DC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59141" w14:textId="220061A0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7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EAC3D" w14:textId="03AE0415" w:rsidR="00B31B90" w:rsidRPr="007D2DCE" w:rsidRDefault="00B31B90" w:rsidP="00CA252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8 = k*3*(2-7)</w:t>
            </w:r>
          </w:p>
        </w:tc>
      </w:tr>
      <w:tr w:rsidR="00B31B90" w:rsidRPr="007D2DCE" w14:paraId="7F4CC563" w14:textId="7A627B7F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95D5FE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7D2DCE">
              <w:rPr>
                <w:rFonts w:ascii="Times New Roman" w:hAnsi="Times New Roman"/>
                <w:b/>
                <w:bCs/>
              </w:rPr>
              <w:t>несрочные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F411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B03A89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2824C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0D6000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2890EE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3AED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28A116" w14:textId="692252E9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6B7831EE" w14:textId="44B89CD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3D5961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7D2DCE">
              <w:rPr>
                <w:rFonts w:ascii="Times New Roman" w:hAnsi="Times New Roman"/>
                <w:b/>
                <w:bCs/>
              </w:rPr>
              <w:t xml:space="preserve">срочные без права пополнения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AC62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B1109F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D79C06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895A1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52CC67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7A90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5A165" w14:textId="27E7C4DA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7B281FA3" w14:textId="4AED8FDC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205F3C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0-1 месяц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F270A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D90AF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58994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FBDE4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8B8988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AF556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B4C19E" w14:textId="669B3B9D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25D9ED56" w14:textId="2F7483F2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52AC5F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1-6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B9199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FD99A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FCC4A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104554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140967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68C15E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F6A193" w14:textId="12B2E0DA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</w:tr>
      <w:tr w:rsidR="00B31B90" w:rsidRPr="007D2DCE" w14:paraId="643D09A6" w14:textId="47A142E4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72D15D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6-12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6A8F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C5166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6B9374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049FC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71AE6B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2222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01167" w14:textId="14CF1981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7F4498CA" w14:textId="01F85777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A809C9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12-24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C2DC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3EE66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9D9C1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7AF54E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2172F9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3A4A30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4028CD" w14:textId="1AB45C01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5D1342BA" w14:textId="4B6A1FA2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A67187" w14:textId="362778EA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5DEA2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EC0CF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BB42A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F95E3C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A0DB8B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821B58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C6E8E" w14:textId="1B3CD34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79DA61EC" w14:textId="2C3A1C39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F3D49A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7D2DCE">
              <w:rPr>
                <w:rFonts w:ascii="Times New Roman" w:hAnsi="Times New Roman"/>
                <w:b/>
                <w:bCs/>
              </w:rPr>
              <w:t xml:space="preserve">срочные с правом пополнения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FFB87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D12CE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38E7B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6DB6E4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0DF0C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19FA0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5979FE" w14:textId="255FBC90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7BF2E7EC" w14:textId="1FA9E37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EB88F4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0-1 месяц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1D9F8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43FD6C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DFBAB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8C8405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B196C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A9133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7E5B5" w14:textId="58E5A99F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3D4E6153" w14:textId="1F84214E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B84471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1-6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678B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F10FB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5C60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BA40B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50E42C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69291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E6AEE" w14:textId="5A526E95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4D6519D1" w14:textId="7D58EBC6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871DE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6-12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4F46B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916B2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80C6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8FF04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02BEF8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C0328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59F76D" w14:textId="085929FA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48C5F2B6" w14:textId="3175EB0A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9C4C14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12-24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F7D59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18904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62EE0D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53136F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D1D5154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5CA943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69B54" w14:textId="6501FD3B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31B90" w:rsidRPr="007D2DCE" w14:paraId="3FAF9CB2" w14:textId="45419DF0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CF8DF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D2DCE">
              <w:rPr>
                <w:rFonts w:ascii="Times New Roman" w:hAnsi="Times New Roman"/>
              </w:rPr>
              <w:t>свыше 24 месяцев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E46B2A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EFF051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E326E5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58065F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F92290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AC15F7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4D16A" w14:textId="35D6273D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</w:p>
        </w:tc>
      </w:tr>
      <w:tr w:rsidR="00B31B90" w:rsidRPr="007D2DCE" w14:paraId="151BDA35" w14:textId="2DF27F17" w:rsidTr="00B31B90">
        <w:trPr>
          <w:trHeight w:val="20"/>
        </w:trPr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1B1CD9" w14:textId="77777777" w:rsidR="00B31B90" w:rsidRPr="007D2DCE" w:rsidRDefault="00B31B90" w:rsidP="00B31B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7D2DCE">
              <w:rPr>
                <w:rFonts w:ascii="Times New Roman" w:hAnsi="Times New Roman"/>
                <w:b/>
                <w:bCs/>
              </w:rPr>
              <w:t>Итого*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2E95E9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39E6C2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67586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E74F60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BDCEA77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68ADA5" w14:textId="77777777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255F2" w14:textId="2BD39786" w:rsidR="00B31B90" w:rsidRPr="007D2DCE" w:rsidRDefault="00B31B90" w:rsidP="008E4A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14:paraId="1DEA5F1E" w14:textId="78BAE8B8" w:rsidR="00973132" w:rsidRPr="007D2DCE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7D2DCE">
        <w:rPr>
          <w:rFonts w:ascii="Times New Roman" w:hAnsi="Times New Roman"/>
          <w:sz w:val="24"/>
          <w:szCs w:val="24"/>
        </w:rPr>
        <w:t xml:space="preserve">* В случае, если сумма взноса за системный риск </w:t>
      </w:r>
      <w:r w:rsidR="00B31B90" w:rsidRPr="007D2DCE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7D2DCE">
        <w:rPr>
          <w:rFonts w:ascii="Times New Roman" w:hAnsi="Times New Roman"/>
          <w:sz w:val="24"/>
          <w:szCs w:val="24"/>
        </w:rPr>
        <w:t>за три месяца, предшествующих первому числу третьего месяца отчетного квартала, составит:</w:t>
      </w:r>
    </w:p>
    <w:p w14:paraId="434FC449" w14:textId="70289BA8" w:rsidR="00973132" w:rsidRPr="007D2DCE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7D2DCE">
        <w:rPr>
          <w:rFonts w:ascii="Times New Roman" w:hAnsi="Times New Roman"/>
          <w:sz w:val="24"/>
          <w:szCs w:val="24"/>
        </w:rPr>
        <w:lastRenderedPageBreak/>
        <w:t xml:space="preserve">положительное значение, то </w:t>
      </w:r>
      <w:r w:rsidR="00B31B90" w:rsidRPr="007D2DCE">
        <w:rPr>
          <w:rFonts w:ascii="Times New Roman" w:hAnsi="Times New Roman"/>
          <w:sz w:val="24"/>
          <w:szCs w:val="24"/>
        </w:rPr>
        <w:t xml:space="preserve">сумма </w:t>
      </w:r>
      <w:r w:rsidRPr="007D2DCE">
        <w:rPr>
          <w:rFonts w:ascii="Times New Roman" w:hAnsi="Times New Roman"/>
          <w:sz w:val="24"/>
          <w:szCs w:val="24"/>
        </w:rPr>
        <w:t>взнос</w:t>
      </w:r>
      <w:r w:rsidR="00B31B90" w:rsidRPr="007D2DCE">
        <w:rPr>
          <w:rFonts w:ascii="Times New Roman" w:hAnsi="Times New Roman"/>
          <w:sz w:val="24"/>
          <w:szCs w:val="24"/>
        </w:rPr>
        <w:t>а</w:t>
      </w:r>
      <w:r w:rsidRPr="007D2DCE">
        <w:rPr>
          <w:rFonts w:ascii="Times New Roman" w:hAnsi="Times New Roman"/>
          <w:sz w:val="24"/>
          <w:szCs w:val="24"/>
        </w:rPr>
        <w:t xml:space="preserve"> за системный риск </w:t>
      </w:r>
      <w:r w:rsidR="00B31B90" w:rsidRPr="007D2DCE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7D2DCE">
        <w:rPr>
          <w:rFonts w:ascii="Times New Roman" w:hAnsi="Times New Roman"/>
          <w:sz w:val="24"/>
          <w:szCs w:val="24"/>
        </w:rPr>
        <w:t xml:space="preserve">суммируется со взносом </w:t>
      </w:r>
      <w:r w:rsidR="00B31B90" w:rsidRPr="007D2DCE">
        <w:rPr>
          <w:rFonts w:ascii="Times New Roman" w:hAnsi="Times New Roman"/>
          <w:sz w:val="24"/>
          <w:szCs w:val="24"/>
        </w:rPr>
        <w:t xml:space="preserve">за кредитный риск </w:t>
      </w:r>
      <w:r w:rsidRPr="007D2DCE">
        <w:rPr>
          <w:rFonts w:ascii="Times New Roman" w:hAnsi="Times New Roman"/>
          <w:sz w:val="24"/>
          <w:szCs w:val="24"/>
        </w:rPr>
        <w:t>банка-участника, определенного согласно его классификационной группе;</w:t>
      </w:r>
    </w:p>
    <w:p w14:paraId="6629FBCF" w14:textId="02E5C460" w:rsidR="00973132" w:rsidRPr="0022595A" w:rsidRDefault="00973132" w:rsidP="008D01BE">
      <w:pPr>
        <w:tabs>
          <w:tab w:val="left" w:pos="993"/>
        </w:tabs>
        <w:autoSpaceDE w:val="0"/>
        <w:autoSpaceDN w:val="0"/>
        <w:adjustRightInd w:val="0"/>
        <w:spacing w:after="0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7D2DCE">
        <w:rPr>
          <w:rFonts w:ascii="Times New Roman" w:hAnsi="Times New Roman"/>
          <w:sz w:val="24"/>
          <w:szCs w:val="24"/>
        </w:rPr>
        <w:t xml:space="preserve">отрицательное значение, то </w:t>
      </w:r>
      <w:r w:rsidR="00B31B90" w:rsidRPr="007D2DCE">
        <w:rPr>
          <w:rFonts w:ascii="Times New Roman" w:hAnsi="Times New Roman"/>
          <w:sz w:val="24"/>
          <w:szCs w:val="24"/>
        </w:rPr>
        <w:t xml:space="preserve">сумма </w:t>
      </w:r>
      <w:r w:rsidRPr="007D2DCE">
        <w:rPr>
          <w:rFonts w:ascii="Times New Roman" w:hAnsi="Times New Roman"/>
          <w:sz w:val="24"/>
          <w:szCs w:val="24"/>
        </w:rPr>
        <w:t>взнос</w:t>
      </w:r>
      <w:r w:rsidR="00B31B90" w:rsidRPr="007D2DCE">
        <w:rPr>
          <w:rFonts w:ascii="Times New Roman" w:hAnsi="Times New Roman"/>
          <w:sz w:val="24"/>
          <w:szCs w:val="24"/>
        </w:rPr>
        <w:t>а</w:t>
      </w:r>
      <w:r w:rsidRPr="007D2DCE">
        <w:rPr>
          <w:rFonts w:ascii="Times New Roman" w:hAnsi="Times New Roman"/>
          <w:sz w:val="24"/>
          <w:szCs w:val="24"/>
        </w:rPr>
        <w:t xml:space="preserve"> за системный риск </w:t>
      </w:r>
      <w:r w:rsidR="00B31B90" w:rsidRPr="007D2DCE">
        <w:rPr>
          <w:rFonts w:ascii="Times New Roman" w:hAnsi="Times New Roman"/>
          <w:sz w:val="24"/>
          <w:szCs w:val="24"/>
        </w:rPr>
        <w:t xml:space="preserve">и повышенного взноса </w:t>
      </w:r>
      <w:r w:rsidRPr="007D2DCE">
        <w:rPr>
          <w:rFonts w:ascii="Times New Roman" w:hAnsi="Times New Roman"/>
          <w:sz w:val="24"/>
          <w:szCs w:val="24"/>
        </w:rPr>
        <w:t xml:space="preserve">подлежит вычету из </w:t>
      </w:r>
      <w:r w:rsidR="00CA252E" w:rsidRPr="007D2DCE">
        <w:rPr>
          <w:rFonts w:ascii="Times New Roman" w:hAnsi="Times New Roman"/>
          <w:sz w:val="24"/>
          <w:szCs w:val="24"/>
        </w:rPr>
        <w:t xml:space="preserve">суммы </w:t>
      </w:r>
      <w:r w:rsidRPr="007D2DCE">
        <w:rPr>
          <w:rFonts w:ascii="Times New Roman" w:hAnsi="Times New Roman"/>
          <w:sz w:val="24"/>
          <w:szCs w:val="24"/>
        </w:rPr>
        <w:t>взноса</w:t>
      </w:r>
      <w:r w:rsidR="00B31B90" w:rsidRPr="007D2DCE">
        <w:rPr>
          <w:rFonts w:ascii="Times New Roman" w:hAnsi="Times New Roman"/>
          <w:sz w:val="24"/>
          <w:szCs w:val="24"/>
        </w:rPr>
        <w:t xml:space="preserve"> за кредитный риск</w:t>
      </w:r>
      <w:r w:rsidRPr="007D2DCE">
        <w:rPr>
          <w:rFonts w:ascii="Times New Roman" w:hAnsi="Times New Roman"/>
          <w:sz w:val="24"/>
          <w:szCs w:val="24"/>
        </w:rPr>
        <w:t xml:space="preserve"> банка-участника, определенного согласно его классификационной группе. Если после вычета образуется отрицательное значение, то данная сумма подлежит зачету в счет предстоящих платежей по взносам банка-участника.</w:t>
      </w:r>
    </w:p>
    <w:p w14:paraId="73AE257D" w14:textId="77777777" w:rsidR="00973132" w:rsidRPr="00A1197F" w:rsidRDefault="00973132" w:rsidP="009731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E11ED3" w14:textId="77777777" w:rsidR="001941C3" w:rsidRDefault="0069399A"/>
    <w:sectPr w:rsidR="0019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32"/>
    <w:rsid w:val="000F1F5B"/>
    <w:rsid w:val="00540D41"/>
    <w:rsid w:val="005D474B"/>
    <w:rsid w:val="0069399A"/>
    <w:rsid w:val="006D01CE"/>
    <w:rsid w:val="007D2DCE"/>
    <w:rsid w:val="0084684D"/>
    <w:rsid w:val="008D01BE"/>
    <w:rsid w:val="008D2949"/>
    <w:rsid w:val="008F347F"/>
    <w:rsid w:val="00920D25"/>
    <w:rsid w:val="00973132"/>
    <w:rsid w:val="00A55BA0"/>
    <w:rsid w:val="00B31B90"/>
    <w:rsid w:val="00BE3149"/>
    <w:rsid w:val="00CA252E"/>
    <w:rsid w:val="00D052E3"/>
    <w:rsid w:val="00D620AC"/>
    <w:rsid w:val="00D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135"/>
  <w15:chartTrackingRefBased/>
  <w15:docId w15:val="{5D74BA9C-9224-457D-90F7-B5D0D5DB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3132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73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 Акенова</dc:creator>
  <cp:keywords/>
  <dc:description/>
  <cp:lastModifiedBy>Aidana Kuntubek</cp:lastModifiedBy>
  <cp:revision>9</cp:revision>
  <dcterms:created xsi:type="dcterms:W3CDTF">2025-01-30T09:41:00Z</dcterms:created>
  <dcterms:modified xsi:type="dcterms:W3CDTF">2025-03-31T11:52:00Z</dcterms:modified>
</cp:coreProperties>
</file>