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D73FA" w14:textId="77777777" w:rsidR="00E2351D" w:rsidRPr="00566FE9" w:rsidRDefault="00E2351D" w:rsidP="00E2351D">
      <w:pPr>
        <w:spacing w:after="0" w:line="240" w:lineRule="auto"/>
        <w:ind w:left="5954" w:hanging="1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566FE9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Утверждены </w:t>
      </w:r>
    </w:p>
    <w:p w14:paraId="770729A4" w14:textId="77777777" w:rsidR="00E2351D" w:rsidRPr="00566FE9" w:rsidRDefault="00E2351D" w:rsidP="00E2351D">
      <w:pPr>
        <w:spacing w:after="0" w:line="240" w:lineRule="auto"/>
        <w:ind w:left="5954" w:hanging="1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566FE9">
        <w:rPr>
          <w:rFonts w:ascii="Times New Roman" w:eastAsia="Times New Roman" w:hAnsi="Times New Roman" w:cs="Times New Roman"/>
          <w:iCs/>
          <w:sz w:val="24"/>
          <w:lang w:eastAsia="ru-RU"/>
        </w:rPr>
        <w:t>решением Совета директоров</w:t>
      </w:r>
    </w:p>
    <w:p w14:paraId="68D5611A" w14:textId="77777777" w:rsidR="00E2351D" w:rsidRPr="00566FE9" w:rsidRDefault="00E2351D" w:rsidP="00E2351D">
      <w:pPr>
        <w:spacing w:after="0" w:line="240" w:lineRule="auto"/>
        <w:ind w:left="5954" w:hanging="1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566FE9">
        <w:rPr>
          <w:rFonts w:ascii="Times New Roman" w:eastAsia="Times New Roman" w:hAnsi="Times New Roman" w:cs="Times New Roman"/>
          <w:iCs/>
          <w:sz w:val="24"/>
          <w:lang w:eastAsia="ru-RU"/>
        </w:rPr>
        <w:t>АО «Казахстанский фонд</w:t>
      </w:r>
    </w:p>
    <w:p w14:paraId="5CFB0B45" w14:textId="77777777" w:rsidR="00E2351D" w:rsidRPr="00566FE9" w:rsidRDefault="00E2351D" w:rsidP="00E2351D">
      <w:pPr>
        <w:spacing w:after="0" w:line="240" w:lineRule="auto"/>
        <w:ind w:left="5954" w:hanging="1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566FE9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гарантирования депозитов» </w:t>
      </w:r>
    </w:p>
    <w:p w14:paraId="25EC3454" w14:textId="77777777" w:rsidR="009615AC" w:rsidRPr="00566FE9" w:rsidRDefault="00E2351D" w:rsidP="00E2351D">
      <w:pPr>
        <w:spacing w:after="0" w:line="240" w:lineRule="auto"/>
        <w:ind w:left="5954" w:hanging="1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66FE9">
        <w:rPr>
          <w:rFonts w:ascii="Times New Roman" w:eastAsia="Times New Roman" w:hAnsi="Times New Roman" w:cs="Times New Roman"/>
          <w:iCs/>
          <w:sz w:val="24"/>
          <w:lang w:eastAsia="ru-RU"/>
        </w:rPr>
        <w:t>от 09 июля 2021 года № 18</w:t>
      </w:r>
      <w:r w:rsidR="009615AC" w:rsidRPr="00566FE9">
        <w:rPr>
          <w:rFonts w:ascii="Times New Roman" w:eastAsia="Times New Roman" w:hAnsi="Times New Roman" w:cs="Times New Roman"/>
          <w:i/>
          <w:iCs/>
          <w:lang w:eastAsia="ru-RU"/>
        </w:rPr>
        <w:tab/>
      </w:r>
      <w:r w:rsidR="009615AC" w:rsidRPr="00566FE9">
        <w:rPr>
          <w:rFonts w:ascii="Times New Roman" w:eastAsia="Times New Roman" w:hAnsi="Times New Roman" w:cs="Times New Roman"/>
          <w:i/>
          <w:iCs/>
          <w:lang w:eastAsia="ru-RU"/>
        </w:rPr>
        <w:tab/>
      </w:r>
      <w:r w:rsidR="009615AC" w:rsidRPr="00566FE9">
        <w:rPr>
          <w:rFonts w:ascii="Times New Roman" w:eastAsia="Times New Roman" w:hAnsi="Times New Roman" w:cs="Times New Roman"/>
          <w:i/>
          <w:iCs/>
          <w:lang w:eastAsia="ru-RU"/>
        </w:rPr>
        <w:tab/>
      </w:r>
      <w:r w:rsidR="009615AC" w:rsidRPr="00566FE9">
        <w:rPr>
          <w:rFonts w:ascii="Times New Roman" w:eastAsia="Times New Roman" w:hAnsi="Times New Roman" w:cs="Times New Roman"/>
          <w:i/>
          <w:iCs/>
          <w:lang w:eastAsia="ru-RU"/>
        </w:rPr>
        <w:tab/>
      </w:r>
    </w:p>
    <w:p w14:paraId="71A04152" w14:textId="77777777" w:rsidR="009615AC" w:rsidRPr="00566FE9" w:rsidRDefault="009615AC" w:rsidP="00853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BF6D995" w14:textId="77777777" w:rsidR="009615AC" w:rsidRPr="00566FE9" w:rsidRDefault="009615AC" w:rsidP="00853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94331931"/>
      <w:r w:rsidRPr="00566F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определения размера и порядка уплаты</w:t>
      </w:r>
    </w:p>
    <w:p w14:paraId="3805E718" w14:textId="77777777" w:rsidR="009615AC" w:rsidRPr="00566FE9" w:rsidRDefault="009615AC" w:rsidP="00853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обязательных календарных, дополнительных и чрезвычайных взносов</w:t>
      </w:r>
    </w:p>
    <w:p w14:paraId="557F65E0" w14:textId="0547027A" w:rsidR="00A423A6" w:rsidRPr="00566FE9" w:rsidRDefault="00A423A6" w:rsidP="00994474">
      <w:pPr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566FE9">
        <w:rPr>
          <w:rStyle w:val="s3"/>
          <w:sz w:val="24"/>
          <w:szCs w:val="24"/>
        </w:rPr>
        <w:t xml:space="preserve">(с </w:t>
      </w:r>
      <w:bookmarkStart w:id="1" w:name="sub1000374299"/>
      <w:r w:rsidRPr="00566FE9">
        <w:rPr>
          <w:rFonts w:ascii="Times New Roman" w:hAnsi="Times New Roman" w:cs="Times New Roman"/>
          <w:color w:val="FF0000"/>
          <w:sz w:val="24"/>
          <w:szCs w:val="24"/>
        </w:rPr>
        <w:fldChar w:fldCharType="begin"/>
      </w:r>
      <w:r w:rsidRPr="00566FE9">
        <w:rPr>
          <w:rFonts w:ascii="Times New Roman" w:hAnsi="Times New Roman" w:cs="Times New Roman"/>
          <w:color w:val="FF0000"/>
          <w:sz w:val="24"/>
          <w:szCs w:val="24"/>
        </w:rPr>
        <w:instrText xml:space="preserve"> HYPERLINK "jl:2013880.0%20" </w:instrText>
      </w:r>
      <w:r w:rsidRPr="00566FE9">
        <w:rPr>
          <w:rFonts w:ascii="Times New Roman" w:hAnsi="Times New Roman" w:cs="Times New Roman"/>
          <w:color w:val="FF0000"/>
          <w:sz w:val="24"/>
          <w:szCs w:val="24"/>
        </w:rPr>
        <w:fldChar w:fldCharType="separate"/>
      </w:r>
      <w:r w:rsidRPr="00566FE9">
        <w:rPr>
          <w:rStyle w:val="af5"/>
          <w:bCs/>
          <w:i/>
          <w:color w:val="FF0000"/>
          <w:sz w:val="24"/>
          <w:szCs w:val="24"/>
          <w:u w:val="none"/>
          <w:bdr w:val="none" w:sz="0" w:space="0" w:color="auto" w:frame="1"/>
        </w:rPr>
        <w:t xml:space="preserve">изменениями </w:t>
      </w:r>
      <w:r w:rsidRPr="00566FE9">
        <w:rPr>
          <w:rFonts w:ascii="Times New Roman" w:hAnsi="Times New Roman" w:cs="Times New Roman"/>
          <w:color w:val="FF0000"/>
          <w:sz w:val="24"/>
          <w:szCs w:val="24"/>
        </w:rPr>
        <w:fldChar w:fldCharType="end"/>
      </w:r>
      <w:bookmarkEnd w:id="1"/>
      <w:r w:rsidR="00AA7A20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и дополнениями</w:t>
      </w:r>
      <w:r w:rsidR="00AA7A20" w:rsidRPr="00566FE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6FE9">
        <w:rPr>
          <w:rStyle w:val="s3"/>
          <w:sz w:val="24"/>
          <w:szCs w:val="24"/>
        </w:rPr>
        <w:t xml:space="preserve">по состоянию на </w:t>
      </w:r>
      <w:bookmarkStart w:id="2" w:name="_Hlk213748405"/>
      <w:r w:rsidR="00EB5B95">
        <w:rPr>
          <w:rStyle w:val="s3"/>
          <w:sz w:val="24"/>
          <w:szCs w:val="24"/>
        </w:rPr>
        <w:t>31</w:t>
      </w:r>
      <w:r w:rsidR="004736AA" w:rsidRPr="00566FE9">
        <w:rPr>
          <w:rStyle w:val="s3"/>
          <w:sz w:val="24"/>
          <w:szCs w:val="24"/>
        </w:rPr>
        <w:t>.</w:t>
      </w:r>
      <w:r w:rsidR="005E7E30" w:rsidRPr="00566FE9">
        <w:rPr>
          <w:rStyle w:val="s3"/>
          <w:sz w:val="24"/>
          <w:szCs w:val="24"/>
        </w:rPr>
        <w:t>0</w:t>
      </w:r>
      <w:r w:rsidR="00744207">
        <w:rPr>
          <w:rStyle w:val="s3"/>
          <w:sz w:val="24"/>
          <w:szCs w:val="24"/>
        </w:rPr>
        <w:t>3</w:t>
      </w:r>
      <w:r w:rsidR="004736AA" w:rsidRPr="00566FE9">
        <w:rPr>
          <w:rStyle w:val="s3"/>
          <w:sz w:val="24"/>
          <w:szCs w:val="24"/>
        </w:rPr>
        <w:t>.202</w:t>
      </w:r>
      <w:bookmarkEnd w:id="2"/>
      <w:r w:rsidR="005E7E30" w:rsidRPr="00566FE9">
        <w:rPr>
          <w:rStyle w:val="s3"/>
          <w:sz w:val="24"/>
          <w:szCs w:val="24"/>
        </w:rPr>
        <w:t>6</w:t>
      </w:r>
      <w:r w:rsidR="004736AA" w:rsidRPr="00566FE9">
        <w:rPr>
          <w:rStyle w:val="s3"/>
          <w:sz w:val="24"/>
          <w:szCs w:val="24"/>
        </w:rPr>
        <w:t xml:space="preserve"> г.</w:t>
      </w:r>
      <w:r w:rsidRPr="00566FE9">
        <w:rPr>
          <w:rStyle w:val="s3"/>
          <w:sz w:val="24"/>
          <w:szCs w:val="24"/>
        </w:rPr>
        <w:t>)</w:t>
      </w:r>
    </w:p>
    <w:bookmarkEnd w:id="0"/>
    <w:p w14:paraId="08A2A600" w14:textId="07405BB3" w:rsidR="003C223A" w:rsidRPr="00566FE9" w:rsidRDefault="003C223A" w:rsidP="00F00EC9">
      <w:pPr>
        <w:spacing w:after="0" w:line="240" w:lineRule="auto"/>
        <w:ind w:firstLine="567"/>
        <w:jc w:val="both"/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</w:pPr>
      <w:r w:rsidRPr="00566FE9"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  <w:t>Согласно решению Совета директоров Фонда от 29.04.2022г. № 14, п</w:t>
      </w:r>
      <w:r w:rsidR="00443147" w:rsidRPr="00566FE9"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  <w:t xml:space="preserve">о всему тексту слова </w:t>
      </w:r>
      <w:r w:rsidR="00AA7A20" w:rsidRPr="00566FE9"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  <w:t xml:space="preserve">«отчет 14_ФС_ДФЛ», «отчету 14_ФС_ДФЛ», «отчета 14_ФС_ДФЛ» </w:t>
      </w:r>
      <w:r w:rsidR="00443147" w:rsidRPr="00566FE9"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  <w:t xml:space="preserve">заменены словами </w:t>
      </w:r>
      <w:r w:rsidR="00AA7A20" w:rsidRPr="00566FE9"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  <w:t>«отчет INDDEP», «отчету INDDEP», «отчета INDDEP»</w:t>
      </w:r>
      <w:r w:rsidRPr="00566FE9"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  <w:t>.</w:t>
      </w:r>
    </w:p>
    <w:p w14:paraId="13741A45" w14:textId="56D762EE" w:rsidR="00443147" w:rsidRPr="00566FE9" w:rsidRDefault="003C223A" w:rsidP="003C223A">
      <w:pPr>
        <w:spacing w:after="0" w:line="240" w:lineRule="auto"/>
        <w:ind w:firstLine="567"/>
        <w:jc w:val="both"/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</w:pPr>
      <w:r w:rsidRPr="00566FE9"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  <w:t>Согласно решению Совета директоров Фонда от 26.12.2023г. № 37,</w:t>
      </w:r>
      <w:r w:rsidR="009D7CDC" w:rsidRPr="00566FE9"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  <w:t xml:space="preserve"> по всему тексту слов</w:t>
      </w:r>
      <w:r w:rsidR="00933524" w:rsidRPr="00566FE9"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  <w:t>о</w:t>
      </w:r>
      <w:r w:rsidR="009D7CDC" w:rsidRPr="00566FE9"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  <w:t xml:space="preserve"> «INDDEP» замен</w:t>
      </w:r>
      <w:r w:rsidR="00933524" w:rsidRPr="00566FE9"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  <w:t>ено</w:t>
      </w:r>
      <w:r w:rsidR="009D7CDC" w:rsidRPr="00566FE9"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  <w:t xml:space="preserve"> словом «INDDEP-1»</w:t>
      </w:r>
      <w:r w:rsidRPr="00566FE9"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  <w:t>.</w:t>
      </w:r>
    </w:p>
    <w:p w14:paraId="1FFB1CF5" w14:textId="36BF86CD" w:rsidR="009011FC" w:rsidRPr="00566FE9" w:rsidRDefault="009011FC" w:rsidP="009011FC">
      <w:pPr>
        <w:spacing w:after="0" w:line="240" w:lineRule="auto"/>
        <w:ind w:firstLine="709"/>
        <w:jc w:val="both"/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</w:pPr>
      <w:r w:rsidRPr="00566FE9"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  <w:t xml:space="preserve">В преамбулу внесены изменения 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соответствии с решением Совета директоров Фонда от 24.02.2026 г. № 4.</w:t>
      </w:r>
    </w:p>
    <w:p w14:paraId="68207F03" w14:textId="29F08240" w:rsidR="009615AC" w:rsidRPr="00566FE9" w:rsidRDefault="009615AC" w:rsidP="00853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определения размера и порядка уплаты обязательных календарных, дополнительных и чрезвычайных взносов (далее – Правила) разработаны в соответствии с </w:t>
      </w:r>
      <w:r w:rsidR="00CB631F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законами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«Об обязательном гарантировании депозитов, размещенных в банках второго уровня Республики Казахстан» (далее – Закон), «О банках и банковской деятельности в Республике Казахстан»</w:t>
      </w:r>
      <w:r w:rsidR="003B3B3D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иными нормативными правовыми актами Республики Казахстан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внутренними документами </w:t>
      </w:r>
      <w:r w:rsidR="0061318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акционерного общества «Казахстанский фонд гарантирования депозитов»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1C78E5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D71A0" w:rsidRPr="00566FE9">
        <w:t xml:space="preserve"> </w:t>
      </w:r>
      <w:r w:rsidR="001D71A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устанавливают порядок определения размера и уплаты обязательных календарных, дополнительных и чрезвычайных взносов банками-участниками системы обязательного гарантирования депозитов</w:t>
      </w:r>
      <w:r w:rsidR="00906FF3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B58DE7" w14:textId="140FD5A6" w:rsidR="009615AC" w:rsidRPr="00566FE9" w:rsidRDefault="009615AC" w:rsidP="00853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Правил является введение справедливой системы уплаты банками-участниками</w:t>
      </w:r>
      <w:r w:rsidR="009535F6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обязательного гарантирования депозитов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обязательных календарных, дополнительных и чрезвычайных взносов, дифференцированных в зависимости от их финансовой устойчивости и степени риска возникновения возможной выплаты гарантийного возмещения </w:t>
      </w:r>
      <w:r w:rsidR="000D7FA3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депозиторам</w:t>
      </w:r>
      <w:r w:rsidR="0061318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гарантируемым депозитам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119B66" w14:textId="77777777" w:rsidR="009615AC" w:rsidRPr="00566FE9" w:rsidRDefault="009615AC" w:rsidP="00853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839901" w14:textId="77777777" w:rsidR="009615AC" w:rsidRPr="00566FE9" w:rsidRDefault="009615AC" w:rsidP="00853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91AC6D" w14:textId="77777777" w:rsidR="009615AC" w:rsidRPr="00566FE9" w:rsidRDefault="009615AC" w:rsidP="00853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566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1. Общие положения</w:t>
      </w:r>
    </w:p>
    <w:p w14:paraId="6590D578" w14:textId="77777777" w:rsidR="00FB33BA" w:rsidRPr="00566FE9" w:rsidRDefault="00FB33BA" w:rsidP="00853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05A50D0" w14:textId="77777777" w:rsidR="009615AC" w:rsidRPr="00566FE9" w:rsidRDefault="009615AC" w:rsidP="00605FB4">
      <w:pPr>
        <w:pStyle w:val="a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применения Правил используются основные понятия, определенные законодательством Республики Казахстан, а также следующие понятия:</w:t>
      </w:r>
    </w:p>
    <w:p w14:paraId="23DAE47A" w14:textId="00E310F8" w:rsidR="004A1CDF" w:rsidRPr="00566FE9" w:rsidRDefault="004A1CDF" w:rsidP="00605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Подпункт 1) изложен в редакции решени</w:t>
      </w:r>
      <w:r w:rsidR="002726C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27.08.2021г. № </w:t>
      </w:r>
      <w:r w:rsidR="00CD30B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23</w:t>
      </w:r>
      <w:r w:rsidR="004736AA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, в подпункт 1) внесены изменения в соответствии с решением Совета директоров Фонда от 14.02.2025 г. № 2</w:t>
      </w:r>
    </w:p>
    <w:p w14:paraId="1F7BD68B" w14:textId="6F1C6A86" w:rsidR="00D45CF3" w:rsidRPr="00566FE9" w:rsidRDefault="004A1CDF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посредник – лицо, которое оказывает банку-участнику услуги по привлечению депозитов физических лиц за плату или встречное предоставление в соответствии с заключенным с банком-участником договором (соглашением), за исключением лиц, оказывающих банку-участнику услуги рекламы (в том числе с использованием телевидения, радио, социальных сетей и иные рекламные услуги)</w:t>
      </w:r>
      <w:r w:rsidR="00FC2F41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банка-участника в соответствии с трудовым договором</w:t>
      </w:r>
      <w:r w:rsidR="00FC2F41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автоматизированных систем банка-участника (например, искусственный интеллект, чат-бот)</w:t>
      </w:r>
      <w:r w:rsidR="00D45CF3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6CE25987" w14:textId="11934615" w:rsidR="004A1CDF" w:rsidRPr="00566FE9" w:rsidRDefault="004A1CDF" w:rsidP="00605F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Подпункт 2) изложен в редакции решени</w:t>
      </w:r>
      <w:r w:rsidR="002726C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</w:t>
      </w:r>
      <w:r w:rsidR="00CD30B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оров Фонда от 27.08.2021г. № 23</w:t>
      </w:r>
    </w:p>
    <w:p w14:paraId="42917160" w14:textId="77777777" w:rsidR="00D45CF3" w:rsidRPr="00566FE9" w:rsidRDefault="004A1CDF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агентская сеть – совокупность посредников и взаимоотношений между посредниками и банком-участником по привлечению депозитов физических лиц</w:t>
      </w:r>
      <w:r w:rsidR="00D45CF3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0B747EA" w14:textId="0FE4F598" w:rsidR="00175693" w:rsidRPr="00566FE9" w:rsidRDefault="004A1CDF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исключен </w:t>
      </w:r>
      <w:r w:rsidR="002726C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соответствии с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решени</w:t>
      </w:r>
      <w:r w:rsidR="002726C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ем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27.08.2021г. № 23</w:t>
      </w:r>
    </w:p>
    <w:p w14:paraId="724EC641" w14:textId="59AC08DC" w:rsidR="003A3EE3" w:rsidRPr="00566FE9" w:rsidRDefault="003A3EE3" w:rsidP="00605F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Подпункт </w:t>
      </w:r>
      <w:r w:rsidR="00FF4AB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4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) изложен в редакции решени</w:t>
      </w:r>
      <w:r w:rsidR="002726C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</w:t>
      </w:r>
      <w:r w:rsidR="00CD30B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от 27.08.2021г. № 23</w:t>
      </w:r>
    </w:p>
    <w:p w14:paraId="53189B2E" w14:textId="77777777" w:rsidR="00D45CF3" w:rsidRPr="00566FE9" w:rsidRDefault="003A3EE3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поощрение – любая выгода, в том числе актив, не понесенные расходы при стандартных условиях обслуживания, предусмотренная к получению депозитором либо по его поручению третьими лицами в рамках акции (акций) по привлечению депозитов, проводимой(ых) банком-участником, а также его партнерами в случае соответствия условиям такой(их) акции (акций).</w:t>
      </w:r>
    </w:p>
    <w:p w14:paraId="72061F61" w14:textId="77777777" w:rsidR="003A3EE3" w:rsidRPr="00566FE9" w:rsidRDefault="003A3EE3" w:rsidP="00605FB4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поощрением:</w:t>
      </w:r>
    </w:p>
    <w:p w14:paraId="6FEECD1D" w14:textId="436FDFAB" w:rsidR="003A3EE3" w:rsidRPr="00566FE9" w:rsidRDefault="003A3EE3" w:rsidP="00605FB4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61050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банком-участником банковских услуг, таких как: </w:t>
      </w:r>
    </w:p>
    <w:p w14:paraId="373FBB8F" w14:textId="1E79CFFC" w:rsidR="003A3EE3" w:rsidRPr="00566FE9" w:rsidRDefault="003A3EE3" w:rsidP="00605FB4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бесплатное или льготное открытие банковских счетов и обслуживание депозиторов;</w:t>
      </w:r>
    </w:p>
    <w:p w14:paraId="230B37B1" w14:textId="488602B4" w:rsidR="003A3EE3" w:rsidRPr="00566FE9" w:rsidRDefault="003A3EE3" w:rsidP="00605FB4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бесплатный или льготный тариф за оказание любых банковских услуг и операций, в том числе при оказании/проведении операций с использованием систем удаленного доступа;</w:t>
      </w:r>
    </w:p>
    <w:p w14:paraId="00643382" w14:textId="3F2F5203" w:rsidR="003A3EE3" w:rsidRPr="00566FE9" w:rsidRDefault="003A3EE3" w:rsidP="00605FB4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бесплатное или льготное снятие наличных денег в банкоматах либо отделениях банка-участника;</w:t>
      </w:r>
    </w:p>
    <w:p w14:paraId="1F18AA2A" w14:textId="23268CD0" w:rsidR="003A3EE3" w:rsidRPr="00566FE9" w:rsidRDefault="003A3EE3" w:rsidP="00605FB4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льготный тариф на расчетно-кассовое обслуживание;</w:t>
      </w:r>
    </w:p>
    <w:p w14:paraId="1044DFFC" w14:textId="0507E323" w:rsidR="003A3EE3" w:rsidRPr="00566FE9" w:rsidRDefault="003A3EE3" w:rsidP="00605FB4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бесплатное или льготное пользование сейфовыми услугами;</w:t>
      </w:r>
    </w:p>
    <w:p w14:paraId="3D51766D" w14:textId="3E52E2B4" w:rsidR="003A3EE3" w:rsidRPr="00566FE9" w:rsidRDefault="003A3EE3" w:rsidP="00605FB4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бесплатный или льготный выпуск платежных карточек, </w:t>
      </w:r>
    </w:p>
    <w:p w14:paraId="7939100E" w14:textId="21061403" w:rsidR="003A3EE3" w:rsidRPr="00566FE9" w:rsidRDefault="003A3EE3" w:rsidP="00605FB4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кредитного лимита;</w:t>
      </w:r>
    </w:p>
    <w:p w14:paraId="1D29EED6" w14:textId="35E46E93" w:rsidR="003A3EE3" w:rsidRPr="00566FE9" w:rsidRDefault="003A3EE3" w:rsidP="00605FB4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61050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любая выгода, предусмотренная к получению депозитором, за осуществление безналичных платежей и (или) банковских переводов, в том числе возврат части денег от суммы проведённой безналичной расходной операции, совершаемой по платежной карте или с использованием ее реквизитов, выдача призов (подарков), начисление баллов, бонусов и кэш-бэков за проведение операций по платежным картам (текущим счетам) без ограничения по сумме и периода получения выгоды;</w:t>
      </w:r>
    </w:p>
    <w:p w14:paraId="6CBC440F" w14:textId="1772D3DF" w:rsidR="003A3EE3" w:rsidRPr="00566FE9" w:rsidRDefault="003A3EE3" w:rsidP="00605FB4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61050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любая иная выгода, стоимость которой не превышает пятикратный размер месячного расчетного показателя, установленного на соответствующий финансовый год законом о республиканском бюджете.</w:t>
      </w:r>
    </w:p>
    <w:p w14:paraId="0D8BD5C2" w14:textId="77777777" w:rsidR="003A3EE3" w:rsidRPr="00566FE9" w:rsidRDefault="003A3EE3" w:rsidP="00605FB4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целей настоящего подпункта под не понесенными расходами понимается экономия, возникающая у клиента банка-участника в связи с предоставлением ему эксклюзивных скидок и (или) условий;</w:t>
      </w:r>
    </w:p>
    <w:p w14:paraId="19F6C233" w14:textId="77777777" w:rsidR="00D02FAC" w:rsidRDefault="00175693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 – цифровой эквивалент оценки банка-участника, определенный по итогам расчета или анализа по каждому из количественных или качественных индикаторов банка-участника;</w:t>
      </w:r>
    </w:p>
    <w:p w14:paraId="58E9582B" w14:textId="61A33E53" w:rsidR="00D02FAC" w:rsidRPr="00056168" w:rsidRDefault="0086057D" w:rsidP="000561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П</w:t>
      </w:r>
      <w:r w:rsidR="00D02FA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одпункт 6)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изложен в редакции согласно</w:t>
      </w:r>
      <w:r w:rsidR="00D02FA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решению </w:t>
      </w:r>
      <w:r w:rsidR="00D02FA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Совета </w:t>
      </w:r>
      <w:r w:rsidR="00660A8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директоров Фонда </w:t>
      </w:r>
      <w:r w:rsidR="00D02FAC">
        <w:rPr>
          <w:rFonts w:ascii="Times New Roman" w:hAnsi="Times New Roman" w:cs="Times New Roman"/>
          <w:i/>
          <w:color w:val="FF0000"/>
          <w:sz w:val="24"/>
          <w:szCs w:val="24"/>
        </w:rPr>
        <w:t>от 31.03.2026</w:t>
      </w:r>
      <w:r w:rsidR="00660A8B">
        <w:rPr>
          <w:rFonts w:ascii="Times New Roman" w:hAnsi="Times New Roman" w:cs="Times New Roman"/>
          <w:i/>
          <w:color w:val="FF0000"/>
          <w:sz w:val="24"/>
          <w:szCs w:val="24"/>
        </w:rPr>
        <w:t>г.</w:t>
      </w:r>
      <w:r w:rsidR="00D02FA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№ 7 </w:t>
      </w:r>
      <w:r w:rsidR="00056168">
        <w:rPr>
          <w:rFonts w:ascii="Times New Roman" w:hAnsi="Times New Roman" w:cs="Times New Roman"/>
          <w:i/>
          <w:color w:val="FF0000"/>
          <w:sz w:val="24"/>
          <w:szCs w:val="24"/>
        </w:rPr>
        <w:t>(введен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D02FAC">
        <w:rPr>
          <w:rFonts w:ascii="Times New Roman" w:hAnsi="Times New Roman" w:cs="Times New Roman"/>
          <w:i/>
          <w:color w:val="FF0000"/>
          <w:sz w:val="24"/>
          <w:szCs w:val="24"/>
        </w:rPr>
        <w:t>в действие с 19 марта 2026 года</w:t>
      </w:r>
      <w:r w:rsidR="00660A8B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</w:p>
    <w:p w14:paraId="78731B9E" w14:textId="39111956" w:rsidR="008D6CEE" w:rsidRPr="00566FE9" w:rsidRDefault="00175693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депозит – деньги, передаваемые одним лицом (депозитором) другому лицу – банку, </w:t>
      </w:r>
      <w:r w:rsidR="00744207" w:rsidRPr="00D02F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филиалу банка - нерезидента Республики Казахстан</w:t>
      </w:r>
      <w:r w:rsidR="00744207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условиях их возврата в номинальном выражении </w:t>
      </w:r>
      <w:r w:rsidR="00744207" w:rsidRPr="00D02F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(за исключением инвестиционных депозитов и банковских счетов в рамках исламских банковских операций)</w:t>
      </w:r>
      <w:r w:rsidR="00744207" w:rsidRPr="00B226C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независимо от того, должны ли </w:t>
      </w:r>
      <w:r w:rsidR="0074420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деньги</w:t>
      </w:r>
      <w:r w:rsidR="00744207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возвращены по первому требованию или через </w:t>
      </w:r>
      <w:r w:rsidR="000A7BF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определенный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срок, полностью или по частям с заранее оговоренной надбавкой </w:t>
      </w:r>
      <w:r w:rsidR="00744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(вознаграждением)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без таковой </w:t>
      </w:r>
      <w:r w:rsidR="00744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(такового)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депозитору либо </w:t>
      </w:r>
      <w:r w:rsidR="00660A8B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</w:t>
      </w:r>
      <w:r w:rsidR="00660A8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60A8B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60A8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60A8B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 w:rsidR="000A7BF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2F774F5" w14:textId="77777777" w:rsidR="008D6CEE" w:rsidRPr="00566FE9" w:rsidRDefault="008D6CEE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системно значимый банк для системы обязательного гарантирования депозитов – банк второго уровня, отнесенный Национальным Банком к системно значимым банкам, а также банки (филиалы банков-нерезидентов Республики Казахстан), доля депозитов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физических лиц которых больше или равна 10% от общей суммы депозитов физических лиц по всем банкам-участникам; </w:t>
      </w:r>
    </w:p>
    <w:p w14:paraId="1A4EBEE3" w14:textId="77777777" w:rsidR="008D6CEE" w:rsidRPr="00566FE9" w:rsidRDefault="008D6CEE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отчетный квартал – квартал, по итогам которого банк-участник уплачивает Фонду взнос;</w:t>
      </w:r>
    </w:p>
    <w:p w14:paraId="59FDC2E2" w14:textId="22CF627F" w:rsidR="008D6CEE" w:rsidRPr="00566FE9" w:rsidRDefault="008D6CEE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балл – балл банка-участника, сложившийся по итогам суммирования баллов по всем количественным и качественным индикаторам банка-участника за определенный квартал;</w:t>
      </w:r>
    </w:p>
    <w:p w14:paraId="09026C05" w14:textId="65619BBC" w:rsidR="004736AA" w:rsidRPr="00566FE9" w:rsidRDefault="004736AA" w:rsidP="004736AA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подпункт 10) внесено дополнение в соответствии с решением Совета директоров Фонда от 14.02.2025 г. № 2</w:t>
      </w:r>
    </w:p>
    <w:p w14:paraId="772A4FAF" w14:textId="11E7D0E3" w:rsidR="008D6CEE" w:rsidRPr="00566FE9" w:rsidRDefault="008D6CEE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накопительный балл – итоговый балл банка-участника за отчетный квартал, определяющий размер ставки его взноса </w:t>
      </w:r>
      <w:r w:rsidR="00FC2F41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кредитный риск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рассчитываемый с учетом общих баллов, набранных банком-участником за последние три квартала, включая отчетный квартал;</w:t>
      </w:r>
    </w:p>
    <w:p w14:paraId="3F56327B" w14:textId="3A679D62" w:rsidR="00724F2D" w:rsidRPr="00566FE9" w:rsidRDefault="003E63FE" w:rsidP="00724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Подпункт 11) изложен в редакции решени</w:t>
      </w:r>
      <w:r w:rsidR="0061050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</w:t>
      </w:r>
      <w:r w:rsidR="00944003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27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.09.2022г. № </w:t>
      </w:r>
      <w:r w:rsidR="00944003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29</w:t>
      </w:r>
      <w:r w:rsidR="00724F2D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; решени</w:t>
      </w:r>
      <w:r w:rsidR="0061050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="00724F2D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25.08.2023г. № 25</w:t>
      </w:r>
    </w:p>
    <w:p w14:paraId="24F4DE8C" w14:textId="68726B68" w:rsidR="001B55DB" w:rsidRPr="00566FE9" w:rsidRDefault="001B55DB" w:rsidP="001B55DB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вновь привлеченный депозит (вклад) – депозит (вклад):</w:t>
      </w:r>
    </w:p>
    <w:p w14:paraId="610A79B9" w14:textId="77777777" w:rsidR="001B55DB" w:rsidRPr="00566FE9" w:rsidRDefault="001B55DB" w:rsidP="001B55D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принятый банком-участником по договору банковского счета и (или) договору банковского вклада в течение отчетного месяца;</w:t>
      </w:r>
    </w:p>
    <w:p w14:paraId="69EC9861" w14:textId="77777777" w:rsidR="001B55DB" w:rsidRPr="00566FE9" w:rsidRDefault="001B55DB" w:rsidP="001B55D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пролонгированный в течение отчетного месяца по договору банковского вклада;</w:t>
      </w:r>
    </w:p>
    <w:p w14:paraId="349EA9D7" w14:textId="5B617C09" w:rsidR="001B55DB" w:rsidRPr="00566FE9" w:rsidRDefault="0010171C" w:rsidP="001B55D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ставка вознаграждения</w:t>
      </w:r>
      <w:r w:rsidR="001B55DB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которому была изменена в течение отчетного месяца, в том числе при наступлении любого из следующих случаев:</w:t>
      </w:r>
    </w:p>
    <w:p w14:paraId="45E66676" w14:textId="77777777" w:rsidR="001B55DB" w:rsidRPr="00566FE9" w:rsidRDefault="001B55DB" w:rsidP="001B55D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одновременной передачи активов и обязательств банка-участника другому (другим) банку-участнику (банкам-участникам);</w:t>
      </w:r>
    </w:p>
    <w:p w14:paraId="32F5900A" w14:textId="77777777" w:rsidR="001B55DB" w:rsidRPr="00566FE9" w:rsidRDefault="001B55DB" w:rsidP="001B55D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перевода депозита (вклада) из одного филиала в другой филиал банка-участника;</w:t>
      </w:r>
    </w:p>
    <w:p w14:paraId="11A39AF0" w14:textId="77777777" w:rsidR="001B55DB" w:rsidRPr="00566FE9" w:rsidRDefault="001B55DB" w:rsidP="001B55D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 банку-участнику в залог прав вкладчика по договору банковского вклада;</w:t>
      </w:r>
    </w:p>
    <w:p w14:paraId="4C7BB1B8" w14:textId="77777777" w:rsidR="001B55DB" w:rsidRPr="00566FE9" w:rsidRDefault="001B55DB" w:rsidP="001B55D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уступки права (требования) по депозиту от депозитора другому депозитору;</w:t>
      </w:r>
    </w:p>
    <w:p w14:paraId="405DB317" w14:textId="77777777" w:rsidR="001B55DB" w:rsidRPr="00566FE9" w:rsidRDefault="001B55DB" w:rsidP="001B55D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передачи депозита (вклада), являющегося обеспечением исполнения обязательств по договору займа, в результате уступки банком-участником прав по договору о залоге другому банку-участнику; </w:t>
      </w:r>
    </w:p>
    <w:p w14:paraId="4CF86F65" w14:textId="237A0C51" w:rsidR="00D71A68" w:rsidRPr="00566FE9" w:rsidRDefault="001B55DB" w:rsidP="001B55DB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 депозита (вклада) при добровольной реорганизации банка-участника другому (другим) банку-участнику (банкам-участникам);</w:t>
      </w:r>
    </w:p>
    <w:p w14:paraId="78C8AB68" w14:textId="5DF6C0BD" w:rsidR="00E87A11" w:rsidRPr="00566FE9" w:rsidRDefault="00E87A11" w:rsidP="00E87A11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Подпункт 12) изложен в редакции </w:t>
      </w:r>
      <w:r w:rsidR="009011FC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решения Совета директоров Фонда от 14.02.2025 г. № 2, в редакции 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решения Совета директоров Фонда от </w:t>
      </w:r>
      <w:r w:rsidR="00430BD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24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.02.202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6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г. № 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4</w:t>
      </w:r>
    </w:p>
    <w:p w14:paraId="71D64497" w14:textId="0AC1A65F" w:rsidR="00DD7BEE" w:rsidRPr="00566FE9" w:rsidRDefault="00FC2F41" w:rsidP="00FF1446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депозитор – физическое лицо, в том числе субъект индивидуального предпринимательства, частный нотариус, частный судебный исполнитель, адвокат и профессиональный медиатор, заключившее с банком-участником договор банковского счета и (или) банковского вклада, либо в пользу которого внесен вклад</w:t>
      </w:r>
      <w:r w:rsidR="00DD7BE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1BD8094" w14:textId="10D2CAF6" w:rsidR="00E53520" w:rsidRPr="00566FE9" w:rsidRDefault="00E53520" w:rsidP="00E5352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Подпункт 13) изложен в редакции решени</w:t>
      </w:r>
      <w:r w:rsidR="0061050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25.08.2023г. № 25</w:t>
      </w:r>
    </w:p>
    <w:p w14:paraId="441238F6" w14:textId="5560BCD1" w:rsidR="008203F2" w:rsidRPr="00566FE9" w:rsidRDefault="00E53520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ставка вознаграждения по привлеченному вкладу физического лица – годовая эффективная ставка вознаграждения по вкладу, выражаемая в достоверном, годовом, эффективном, сопоставимом исчислении (реальная стоимость)</w:t>
      </w:r>
      <w:r w:rsidR="00DD7BE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149D583" w14:textId="1C051EB5" w:rsidR="00E87A11" w:rsidRPr="00566FE9" w:rsidRDefault="00FF4AB9" w:rsidP="00E87A11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Подпункт 14) изложен в редакции решени</w:t>
      </w:r>
      <w:r w:rsidR="0061050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</w:t>
      </w:r>
      <w:r w:rsidR="00CD30B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оров Фонда от 27.08.2021г. № 23</w:t>
      </w:r>
      <w:r w:rsidR="00E87A1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, решения Совета директоров Фонда от 14.02.2025 г. № 2</w:t>
      </w:r>
    </w:p>
    <w:p w14:paraId="09114BA8" w14:textId="390B8DC2" w:rsidR="008203F2" w:rsidRPr="00566FE9" w:rsidRDefault="00FC2F41" w:rsidP="00610508">
      <w:pPr>
        <w:pStyle w:val="aa"/>
        <w:numPr>
          <w:ilvl w:val="0"/>
          <w:numId w:val="1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повышенный взнос – взнос, определяемый банкам-участникам за нарушение условий привлечения депозитов физических лиц при наличии оснований, установленных пункт</w:t>
      </w:r>
      <w:r w:rsidR="000F62E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="000F62E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5-1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</w:t>
      </w:r>
      <w:r w:rsidR="008203F2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8203F2" w:rsidRPr="00566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14:paraId="779020DA" w14:textId="77777777" w:rsidR="008203F2" w:rsidRPr="00566FE9" w:rsidRDefault="008203F2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финансовая отчетность – информация о финансовом положении, результатах деятельности и изменениях в финансовом положении банка (филиала банка-нерезидента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Республики Казахстан), составленные в соответствии с международными стандартами финансовой отчетности;</w:t>
      </w:r>
    </w:p>
    <w:p w14:paraId="6F494D91" w14:textId="77777777" w:rsidR="005C4805" w:rsidRPr="00566FE9" w:rsidRDefault="008203F2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банк-участник – банк (филиал банка-нерезидента Республики Казахстан), являющийся участником системы обязательного гарантирования депозитов, обязательства которого по возврату привлеченных депозитов гарантируются в соответствии с Законом;</w:t>
      </w:r>
    </w:p>
    <w:p w14:paraId="6A31B5F9" w14:textId="77777777" w:rsidR="005C4805" w:rsidRPr="00566FE9" w:rsidRDefault="005C4805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«кэшевый банк» - банк-участник, рассчитанные</w:t>
      </w:r>
      <w:r w:rsidRPr="00566F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значения количественных индикаторов С-1 и </w:t>
      </w:r>
      <w:r w:rsidRPr="00566F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-1 которого больше 60%;</w:t>
      </w:r>
      <w:r w:rsidRPr="00566FE9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 </w:t>
      </w:r>
    </w:p>
    <w:p w14:paraId="101F0CDE" w14:textId="3C698D9B" w:rsidR="005C4805" w:rsidRPr="00566FE9" w:rsidRDefault="005C4805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присоединения – договор присоединения банка (филиала банка-нерезидента Республики Казахстан) к системе обязательного гарантирования депозитов, условия которого определяются Фондом и являются стандартными для всех банков (филиалов банков-нерезидентов Республики Казахстан), вступающих в систему;</w:t>
      </w:r>
    </w:p>
    <w:p w14:paraId="5FC86BDD" w14:textId="3E60A0C9" w:rsidR="00E87A11" w:rsidRPr="00566FE9" w:rsidRDefault="00E87A11" w:rsidP="00E87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Подпункт 19) изложен в редакции решения Совета директоров Фонда от 14.02.2025 г. № 2</w:t>
      </w:r>
    </w:p>
    <w:p w14:paraId="123D5A59" w14:textId="32356B40" w:rsidR="005C4805" w:rsidRPr="00566FE9" w:rsidRDefault="005C4805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дополнительные взносы – разовые платежи банков-участников, уплачиваемые в случае недостаточности специального резерва </w:t>
      </w:r>
      <w:r w:rsidR="00FC2F41" w:rsidRPr="00566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 собственных активов </w:t>
      </w:r>
      <w:r w:rsidRPr="00566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Фонда</w:t>
      </w:r>
      <w:r w:rsidR="00FC2F41" w:rsidRPr="00566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используемых в порядке, предусмотренном пунктом 4 статьи 22 Закона,</w:t>
      </w:r>
      <w:r w:rsidRPr="00566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для выплаты гарантийного возмещения;</w:t>
      </w:r>
    </w:p>
    <w:p w14:paraId="56BFB690" w14:textId="77777777" w:rsidR="005C4805" w:rsidRPr="00566FE9" w:rsidRDefault="005C4805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– максимально допустимое значение балла, которое может присваиваться банку-участнику по итогам расчета или анализа количественного или качественного индикатора банка-участника;</w:t>
      </w:r>
    </w:p>
    <w:p w14:paraId="657B02F7" w14:textId="08CE9778" w:rsidR="00E53520" w:rsidRPr="00566FE9" w:rsidRDefault="00843B7B" w:rsidP="00E53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Подпункт </w:t>
      </w:r>
      <w:r w:rsidR="00A04C4D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21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) изложен в редакции решени</w:t>
      </w:r>
      <w:r w:rsidR="0061050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</w:t>
      </w:r>
      <w:r w:rsidR="00CD30B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оров Фонда от 27.08.2021г. № 23</w:t>
      </w:r>
      <w:r w:rsidR="00E53520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; решени</w:t>
      </w:r>
      <w:r w:rsidR="0061050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="00E53520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25.08.2023г. № 25</w:t>
      </w:r>
      <w:r w:rsidR="00E87A1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, решения Совета директоров Фонда от 14.02.2025 г. № 2</w:t>
      </w:r>
    </w:p>
    <w:p w14:paraId="0336E10F" w14:textId="35C00F06" w:rsidR="005C4805" w:rsidRPr="00566FE9" w:rsidRDefault="00E53520" w:rsidP="00610508">
      <w:pPr>
        <w:pStyle w:val="aa"/>
        <w:numPr>
          <w:ilvl w:val="0"/>
          <w:numId w:val="1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обязательные календарные взносы – ежеквартальные платежи банков-участников, </w:t>
      </w:r>
      <w:r w:rsidR="00FC2F41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состоящие из взноса за кредитный риск, взноса за системный риск</w:t>
      </w:r>
      <w:r w:rsidR="000F62E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повышенного взноса</w:t>
      </w:r>
      <w:r w:rsidR="00FC2F41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рассчитанных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предусмотренном Правилами</w:t>
      </w:r>
      <w:r w:rsidR="005C4805" w:rsidRPr="00566FE9">
        <w:rPr>
          <w:rFonts w:ascii="Times New Roman" w:hAnsi="Times New Roman"/>
          <w:sz w:val="24"/>
        </w:rPr>
        <w:t>;</w:t>
      </w:r>
    </w:p>
    <w:p w14:paraId="07750602" w14:textId="182119E5" w:rsidR="00867DFA" w:rsidRPr="00566FE9" w:rsidRDefault="005C4805" w:rsidP="00867DFA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мультивалютный депозит - депозит, принятый по договору банковского вклада в тенге или иностранной валюте с условием одновременного открытия по данному депозиту счетов в тенге и иностранной валюте, и предусматривающим возможность перевода вклада по распоряжению депозитора в рамках данного договора полностью или частично из одной валюты вклада в другую валюту вклада;</w:t>
      </w:r>
      <w:r w:rsidR="00C872A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F82A0EE" w14:textId="51D95127" w:rsidR="003A27A5" w:rsidRPr="00566FE9" w:rsidRDefault="003A27A5" w:rsidP="003A2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Подпункт 23) изложен в редакции решения Совета директоров Фонда от 25.08.2023г. № 25</w:t>
      </w:r>
    </w:p>
    <w:p w14:paraId="7AC48EA6" w14:textId="0F9E25CE" w:rsidR="00867DFA" w:rsidRPr="00566FE9" w:rsidRDefault="00CA6EF0" w:rsidP="000C27F0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рыночная ставка – средневзвешенная годовая эффективная ставка вознаграждения по вновь привлеченным банками-участниками вкладам физических лиц в национальной валюте, рассчитанная в соответствии с приложением 1 к Правилам</w:t>
      </w:r>
      <w:r w:rsidR="00E370F7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3C601E2" w14:textId="11DE1CAF" w:rsidR="005521D8" w:rsidRPr="00566FE9" w:rsidRDefault="003A27A5" w:rsidP="003A27A5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исключен в соответствии с решением Совета директоров Фонда от 25.08.2023г. № 25</w:t>
      </w:r>
    </w:p>
    <w:p w14:paraId="4E62EE99" w14:textId="576BF65B" w:rsidR="00E33B76" w:rsidRPr="00566FE9" w:rsidRDefault="00E33B76" w:rsidP="00FC72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подпункт</w:t>
      </w:r>
      <w:r w:rsidR="00867DFA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25) </w:t>
      </w:r>
      <w:r w:rsidR="00867DFA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внесены изменения</w:t>
      </w:r>
      <w:r w:rsidR="00FC72B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61050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соответствии с р</w:t>
      </w:r>
      <w:r w:rsidR="00FC72B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ешени</w:t>
      </w:r>
      <w:r w:rsidR="0061050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ем</w:t>
      </w:r>
      <w:r w:rsidR="00FC72B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25.08.2023г. № 25</w:t>
      </w:r>
    </w:p>
    <w:p w14:paraId="4F757CF2" w14:textId="38469672" w:rsidR="00C872AE" w:rsidRPr="00566FE9" w:rsidRDefault="00C872AE" w:rsidP="00DB4375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средневзвешенная ставка – средневзвешенная годовая эффективная ставка вознаграждения банка-участника по вн</w:t>
      </w:r>
      <w:r w:rsidR="00DF7D6F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овь привлеченным вкладам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физических лиц;</w:t>
      </w:r>
    </w:p>
    <w:p w14:paraId="69472A33" w14:textId="31532509" w:rsidR="00C872AE" w:rsidRPr="00566FE9" w:rsidRDefault="00C872AE" w:rsidP="00DB4375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количественные и качественные индикаторы – показатели, предусмотренные Правилами, характеризующие финансовую деятельность или устойчивость банка-участника;</w:t>
      </w:r>
    </w:p>
    <w:p w14:paraId="456FD2C2" w14:textId="72264433" w:rsidR="003A27A5" w:rsidRPr="00566FE9" w:rsidRDefault="003A27A5" w:rsidP="003A2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Подпункт 27) изложен в редакции решения Совета директоров Фонда от 25.08.2023г. № 25</w:t>
      </w:r>
      <w:r w:rsidR="00E87A1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, внесены изменения в соответствии с решением Совета директоров Фонда от 14.02.2025 г. № 2</w:t>
      </w:r>
    </w:p>
    <w:p w14:paraId="5FB52B2A" w14:textId="10FF2B09" w:rsidR="003A27A5" w:rsidRPr="00566FE9" w:rsidRDefault="003A27A5" w:rsidP="00DB4375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предельные ставки вознаграждения –максимальные размеры ставок вознаграждения по вновь привлекаемым вкладам физических лиц, определяемые и устанавливаемые в соответствии с Методикой определения и установления предельных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размеров ставок вознаграждения по вновь привлекаемым вкладам физических лиц в национальной и иностранной валютах (далее – Методика);</w:t>
      </w:r>
    </w:p>
    <w:p w14:paraId="0A2D4DC2" w14:textId="26993C90" w:rsidR="00C872AE" w:rsidRPr="00566FE9" w:rsidRDefault="00C872AE" w:rsidP="00DB4375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чрезвычайные взносы – платежи банков-участников для полного погашения суммы займа, полученной Фондом, в порядке, установленном Законом, и начисленного по нему вознаграждения;</w:t>
      </w:r>
    </w:p>
    <w:p w14:paraId="070CB597" w14:textId="77777777" w:rsidR="009615AC" w:rsidRPr="00566FE9" w:rsidRDefault="009615AC" w:rsidP="00DB4375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 – государственный орган, осуществляющий государственное регулирование, контроль и надзор финансового рынка и финансовых организаций;</w:t>
      </w:r>
    </w:p>
    <w:p w14:paraId="0D9F187B" w14:textId="77777777" w:rsidR="009615AC" w:rsidRPr="00566FE9" w:rsidRDefault="00525BF1" w:rsidP="00DB4375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Национальный Банк – Национальный Банк Республики Казахстан;</w:t>
      </w:r>
    </w:p>
    <w:p w14:paraId="2B7AEA1F" w14:textId="77777777" w:rsidR="00C75E30" w:rsidRPr="00566FE9" w:rsidRDefault="009615AC" w:rsidP="00DB4375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SREP (Supervisory Review and Evaluation Process) – риск-ориентированная надзорная оценка, проводимая уполномоченным органом</w:t>
      </w:r>
      <w:r w:rsidR="00D7119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5746D06" w14:textId="40E67B22" w:rsidR="00FB33BA" w:rsidRPr="00566FE9" w:rsidRDefault="00FB33BA" w:rsidP="00FB33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Пункт 1 дополнен подпунктами 32) и 33) </w:t>
      </w:r>
      <w:r w:rsidR="0061050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соответствии с решением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27.09.2022г. № 29</w:t>
      </w:r>
    </w:p>
    <w:p w14:paraId="7E8736C6" w14:textId="34C08D01" w:rsidR="00D71199" w:rsidRPr="00566FE9" w:rsidRDefault="00D71199" w:rsidP="00DB4375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ежеквартальная отчетность – отдельная (неконсолидированная) аудированная и (или) неаудированная финансовая отчетность банка-участника, используемая для расчета количественных и качественных индикаторов;</w:t>
      </w:r>
    </w:p>
    <w:p w14:paraId="1F103FDD" w14:textId="7822654C" w:rsidR="00E87A11" w:rsidRPr="00566FE9" w:rsidRDefault="00E87A11" w:rsidP="00E87A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подпункт 33) внесены изменения в соответствии с решением Совета директоров Фонда от 14.02.2025 г. № 2</w:t>
      </w:r>
    </w:p>
    <w:p w14:paraId="244D4198" w14:textId="02A27E73" w:rsidR="00D71199" w:rsidRPr="00566FE9" w:rsidRDefault="00D71199" w:rsidP="00DB4375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годовая отчетность – отдельная (неконсолидированная) годовая аудированная финансовая отчетность банка-участника за год, предшествующий отчетному году, используемая для расчета количественных и качественных индикаторов для определения ставок взносов </w:t>
      </w:r>
      <w:r w:rsidR="00FC2F41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кредитный риск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банков-участников з</w:t>
      </w:r>
      <w:r w:rsidR="00E33B76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первый квартал отчетного года;</w:t>
      </w:r>
    </w:p>
    <w:p w14:paraId="540A04B2" w14:textId="5A951868" w:rsidR="003A27A5" w:rsidRPr="00566FE9" w:rsidRDefault="003A27A5" w:rsidP="003A27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1 дополнен подпунктом 34) в соответствии с решением Совета директоров Фонда от 25.08.2023г. № 25</w:t>
      </w:r>
    </w:p>
    <w:p w14:paraId="24D63B1B" w14:textId="006CDD2B" w:rsidR="00E87A11" w:rsidRPr="00566FE9" w:rsidRDefault="00E87A11" w:rsidP="003A27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подпункт 34) внесены дополнения в соответствии с решением Совета директоров Фонда от 14.02.2025 г. № 2</w:t>
      </w:r>
    </w:p>
    <w:p w14:paraId="32214302" w14:textId="0ECFA05C" w:rsidR="003A27A5" w:rsidRPr="00566FE9" w:rsidRDefault="003A27A5" w:rsidP="003A27A5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 за системный риск – взнос банка-участника за превышение средневзвешенных ставок по вкладам над рыночной ставкой, рассчитанный в порядке, предусмотренном Правилами</w:t>
      </w:r>
      <w:bookmarkStart w:id="3" w:name="_Hlk185438008"/>
      <w:r w:rsidR="00C961A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отражает влияние </w:t>
      </w:r>
      <w:r w:rsidR="000F62E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</w:t>
      </w:r>
      <w:r w:rsidR="00C961A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банка</w:t>
      </w:r>
      <w:r w:rsidR="000F62E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-участника по привлечению депозиторов</w:t>
      </w:r>
      <w:r w:rsidR="00C961A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системный риск банковского сектора</w:t>
      </w:r>
      <w:bookmarkEnd w:id="3"/>
      <w:r w:rsidR="00FC2F41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E8EEAD0" w14:textId="07576EB3" w:rsidR="00E87A11" w:rsidRPr="00566FE9" w:rsidRDefault="00E87A11" w:rsidP="00E87A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1 дополнен подпунктом 35) в соответствии с решением Совета директоров Фонда от 14.02.2025 г. № 2</w:t>
      </w:r>
    </w:p>
    <w:p w14:paraId="1C7B3944" w14:textId="44801480" w:rsidR="00FC2F41" w:rsidRPr="00566FE9" w:rsidRDefault="00FC2F41" w:rsidP="00FC2F41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вкладов – вклады, объединённые в одну группу в зависимости от условий изъятия, права пополнения, срок</w:t>
      </w:r>
      <w:r w:rsidR="00574A34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валют</w:t>
      </w:r>
      <w:r w:rsidR="00574A34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тип</w:t>
      </w:r>
      <w:r w:rsidR="00574A34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ставки для целей определения и установления предельной ставки в соответствии с Методикой;</w:t>
      </w:r>
    </w:p>
    <w:p w14:paraId="6D78B811" w14:textId="08FCF252" w:rsidR="009011FC" w:rsidRPr="00566FE9" w:rsidRDefault="00E87A11" w:rsidP="009011FC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1 дополнен подпунктом 36) в соответствии с решением Совета директоров Фонда от 14.02.2025 г. № 2</w:t>
      </w:r>
      <w:r w:rsidR="009011FC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, подпункт 36) изложен в редакции решения Совета директоров Фонда от 24.02.2026 г. № 4</w:t>
      </w:r>
    </w:p>
    <w:p w14:paraId="3E50A2EC" w14:textId="359DFFD4" w:rsidR="00FC2F41" w:rsidRPr="00566FE9" w:rsidRDefault="00FC2F41" w:rsidP="00FC2F41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депозитная база – совокупная сумма депозитов </w:t>
      </w:r>
      <w:r w:rsidR="00C3079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физических лиц </w:t>
      </w:r>
      <w:r w:rsidR="000F62E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</w:t>
      </w:r>
      <w:r w:rsidR="00C3079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-участник</w:t>
      </w:r>
      <w:r w:rsidR="00C3079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состоянию на первое число месяца, следующего за отчетным кварталом</w:t>
      </w:r>
      <w:r w:rsidR="005E7E3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соответствующая совокупной сумме депозитов физических лиц в национальной и иностранной валютах, указанной в Таблице 1 представленного банком-участником Отчета по объемам и ставкам вознаграждений депозитов физических лиц согласно приложению 13 к постановлению Правления Национального Банка от 2 декабря 2025 года № 88 «Об утверждении Правил представления отчетности банками второго уровня, филиалами банков-нерезидентов Республики Казахстан и акционерным обществом «Банк Развития Казахстана» (далее – отчет INDDEP-1)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D54465B" w14:textId="77777777" w:rsidR="009011FC" w:rsidRPr="00566FE9" w:rsidRDefault="009011FC" w:rsidP="009011F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1 дополнен подпунктом 37) в соответствии с решением Совета директоров Фонда от 14.02.2025 г. № 2</w:t>
      </w:r>
    </w:p>
    <w:p w14:paraId="3686FA92" w14:textId="00367799" w:rsidR="00FC2F41" w:rsidRPr="00566FE9" w:rsidRDefault="00566FE9" w:rsidP="00FC2F41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lastRenderedPageBreak/>
        <w:t>и</w:t>
      </w:r>
      <w:r w:rsidR="005E7E30" w:rsidRPr="00566FE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сключен в соответствии с решением Совета директоров Фонда от </w:t>
      </w:r>
      <w:r w:rsidR="00430BD8" w:rsidRPr="00566FE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24.02.</w:t>
      </w:r>
      <w:r w:rsidR="007E304C" w:rsidRPr="00566FE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2026</w:t>
      </w:r>
      <w:r w:rsidR="005E7E30" w:rsidRPr="00566FE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г. 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№ 4</w:t>
      </w:r>
      <w:r w:rsidR="00FC2F41" w:rsidRPr="00566F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;</w:t>
      </w:r>
    </w:p>
    <w:p w14:paraId="10B24F23" w14:textId="4EE91C91" w:rsidR="00E87A11" w:rsidRPr="00566FE9" w:rsidRDefault="00E87A11" w:rsidP="00E87A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1 дополнен подпунктом 38) в соответствии с решением Совета директоров Фонда от 14.02.2025 г. № 2</w:t>
      </w:r>
    </w:p>
    <w:p w14:paraId="708EE331" w14:textId="2B4C6FAE" w:rsidR="000F62E0" w:rsidRPr="00566FE9" w:rsidRDefault="000F62E0" w:rsidP="000F62E0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классификационная группа – группа банка-участника, определяемая на основе оценки его финансового состояния в соответствии с общим накопительным баллом согласно приложению 7 к Правилам; </w:t>
      </w:r>
    </w:p>
    <w:p w14:paraId="09F097AD" w14:textId="0C6F4D37" w:rsidR="00E87A11" w:rsidRPr="00566FE9" w:rsidRDefault="00E87A11" w:rsidP="00E87A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1 дополнен подпунктом 39) в соответствии с решением Совета директоров Фонда от 14.02.2025 г. № 2</w:t>
      </w:r>
    </w:p>
    <w:p w14:paraId="3E07C624" w14:textId="168CB2D2" w:rsidR="00FC72BE" w:rsidRPr="00566FE9" w:rsidRDefault="00FC2F41" w:rsidP="00FC2F41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 за кредитный риск – ежеквартальный взнос по ставке взноса, соответствующей классификационной группе банка-участника согласно приложению 7 к Правилам</w:t>
      </w:r>
      <w:r w:rsidR="00574A34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DA1AD7" w14:textId="77777777" w:rsidR="009615AC" w:rsidRPr="00566FE9" w:rsidRDefault="009615AC" w:rsidP="008530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EAF10B" w14:textId="2F7469B1" w:rsidR="001135A1" w:rsidRPr="00566FE9" w:rsidRDefault="001135A1" w:rsidP="00610508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Глава 2 изложена в редакции решени</w:t>
      </w:r>
      <w:r w:rsidR="0061050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27.08.2021г. № 23</w:t>
      </w:r>
    </w:p>
    <w:p w14:paraId="712DEA97" w14:textId="77777777" w:rsidR="009615AC" w:rsidRPr="00566FE9" w:rsidRDefault="009615AC" w:rsidP="00853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2. </w:t>
      </w:r>
      <w:r w:rsidR="00AD504C" w:rsidRPr="00566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определения размера обязательных календарных взносов</w:t>
      </w:r>
    </w:p>
    <w:p w14:paraId="36546E4F" w14:textId="77777777" w:rsidR="00FC72BE" w:rsidRPr="00566FE9" w:rsidRDefault="00FC72BE" w:rsidP="00FC72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0317C157" w14:textId="255245BD" w:rsidR="00FC72BE" w:rsidRPr="00566FE9" w:rsidRDefault="00FC72BE" w:rsidP="00FC7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2 изложен в редакции решени</w:t>
      </w:r>
      <w:r w:rsidR="0061050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25.08.2023г. № 25</w:t>
      </w:r>
      <w:r w:rsidR="00802504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, решения Совета директоров Фонда от</w:t>
      </w:r>
      <w:r w:rsidR="00E72DEB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14.02.2025г. № 2,</w:t>
      </w:r>
      <w:r w:rsidR="00802504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E72DEB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решения Совета директоров Фонда от </w:t>
      </w:r>
      <w:r w:rsidR="00430BD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</w:t>
      </w:r>
      <w:r w:rsidR="00802504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4.02.202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6</w:t>
      </w:r>
      <w:r w:rsidR="00802504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г. 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№ 4</w:t>
      </w:r>
    </w:p>
    <w:p w14:paraId="0B222089" w14:textId="08DF3A01" w:rsidR="00574A34" w:rsidRPr="00566FE9" w:rsidRDefault="00EE3FCF" w:rsidP="00802504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Банки-участники ежеквартально уплачивают обязательны</w:t>
      </w:r>
      <w:r w:rsidR="000F62E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</w:t>
      </w:r>
      <w:r w:rsidR="000F62E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взнос</w:t>
      </w:r>
      <w:r w:rsidR="00574A34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</w:t>
      </w:r>
      <w:r w:rsidR="000F62E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574A34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</w:t>
      </w:r>
      <w:r w:rsidR="000F62E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74A34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из взноса за кредитный риск, </w:t>
      </w:r>
      <w:r w:rsidR="000F62E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 за системный риск и, при наличии основани</w:t>
      </w:r>
      <w:r w:rsidR="00802504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0F62E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установленных в пунктах 5 и 5-1 Правил, </w:t>
      </w:r>
      <w:r w:rsidR="00574A34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повышенного взноса:</w:t>
      </w:r>
    </w:p>
    <w:p w14:paraId="30221ED5" w14:textId="77777777" w:rsidR="00574A34" w:rsidRPr="00566FE9" w:rsidRDefault="00574A34" w:rsidP="00574A34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46E01E" w14:textId="18650A30" w:rsidR="00574A34" w:rsidRPr="00566FE9" w:rsidRDefault="00574A34" w:rsidP="00574A34">
      <w:pPr>
        <w:tabs>
          <w:tab w:val="left" w:pos="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ОКВ = ВКР + </w:t>
      </w:r>
      <w:r w:rsidR="000F62E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ВСР +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ПВ,</w:t>
      </w:r>
    </w:p>
    <w:p w14:paraId="7C2A5927" w14:textId="77777777" w:rsidR="00574A34" w:rsidRPr="00566FE9" w:rsidRDefault="00574A34" w:rsidP="00574A34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10A927" w14:textId="2805A8D2" w:rsidR="00574A34" w:rsidRPr="00566FE9" w:rsidRDefault="00574A34" w:rsidP="00574A34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</w:p>
    <w:p w14:paraId="5B36173B" w14:textId="77777777" w:rsidR="00574A34" w:rsidRPr="00566FE9" w:rsidRDefault="00574A34" w:rsidP="00574A34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ОКВ – обязательный календарный взнос;</w:t>
      </w:r>
    </w:p>
    <w:p w14:paraId="45261903" w14:textId="77777777" w:rsidR="00574A34" w:rsidRPr="00566FE9" w:rsidRDefault="00574A34" w:rsidP="00574A34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ВКР – взнос за кредитный риск;</w:t>
      </w:r>
    </w:p>
    <w:p w14:paraId="1D9D9053" w14:textId="14C4F06D" w:rsidR="000F62E0" w:rsidRPr="00566FE9" w:rsidRDefault="000F62E0" w:rsidP="000F62E0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ВСР – взнос за системный риск;</w:t>
      </w:r>
    </w:p>
    <w:p w14:paraId="619A551D" w14:textId="1A17F555" w:rsidR="00574A34" w:rsidRPr="00566FE9" w:rsidRDefault="00574A34" w:rsidP="008025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ПВ – повышенный взнос</w:t>
      </w:r>
      <w:r w:rsidR="00B26AC3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(ПВ = ПВ1 + ПВ2</w:t>
      </w:r>
      <w:r w:rsidR="007E304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72DEB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CBF9D9B" w14:textId="77777777" w:rsidR="007E304C" w:rsidRPr="00566FE9" w:rsidRDefault="007E304C" w:rsidP="007E304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ПВ1 – повышенный взнос по основаниям, установленным пунктом 5 Правил; </w:t>
      </w:r>
    </w:p>
    <w:p w14:paraId="59471C3E" w14:textId="3E0E2F35" w:rsidR="007E304C" w:rsidRPr="00566FE9" w:rsidRDefault="007E304C" w:rsidP="007E304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ПВ2 – повышенный взнос по основанию, установленному пунктом 5-1 Правил.</w:t>
      </w:r>
    </w:p>
    <w:p w14:paraId="7A988E32" w14:textId="5467DA74" w:rsidR="00574A34" w:rsidRPr="00566FE9" w:rsidRDefault="000A509F" w:rsidP="008025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186459341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обязательного календарного взноса банка-участника не должна превышать размер, установленный Законом.</w:t>
      </w:r>
      <w:bookmarkEnd w:id="4"/>
    </w:p>
    <w:p w14:paraId="08C82F3B" w14:textId="1FA123E4" w:rsidR="00802504" w:rsidRPr="00566FE9" w:rsidRDefault="00802504" w:rsidP="00802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3 изложен в редакции решения Совета директоров Фонда от 14.02.2025 г. №2</w:t>
      </w:r>
    </w:p>
    <w:p w14:paraId="3F445EFD" w14:textId="2D5C62C8" w:rsidR="00AD504C" w:rsidRPr="00566FE9" w:rsidRDefault="00574A34" w:rsidP="00605FB4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Взнос за кредитный риск рассчитывается как произведение ставки взноса </w:t>
      </w:r>
      <w:r w:rsidR="000F62E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кредитный риск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банка-участника и его депозитной базы, то есть:</w:t>
      </w:r>
    </w:p>
    <w:p w14:paraId="73ACD17B" w14:textId="77777777" w:rsidR="00574A34" w:rsidRPr="00566FE9" w:rsidRDefault="00574A34" w:rsidP="00574A34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69FB721B" w14:textId="47ED5A03" w:rsidR="00574A34" w:rsidRPr="00566FE9" w:rsidRDefault="00574A34" w:rsidP="00574A34">
      <w:pPr>
        <w:tabs>
          <w:tab w:val="left" w:pos="0"/>
        </w:tabs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566FE9">
        <w:rPr>
          <w:rFonts w:ascii="Times New Roman" w:hAnsi="Times New Roman"/>
          <w:sz w:val="28"/>
          <w:szCs w:val="28"/>
        </w:rPr>
        <w:t>ВКР = СВ * Д,</w:t>
      </w:r>
    </w:p>
    <w:p w14:paraId="448AB194" w14:textId="77777777" w:rsidR="00574A34" w:rsidRPr="00566FE9" w:rsidRDefault="00574A34" w:rsidP="00574A34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6E556BD2" w14:textId="77A30884" w:rsidR="00574A34" w:rsidRPr="00566FE9" w:rsidRDefault="00574A34" w:rsidP="00574A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 xml:space="preserve">где </w:t>
      </w:r>
    </w:p>
    <w:p w14:paraId="5E164B5A" w14:textId="77777777" w:rsidR="00574A34" w:rsidRPr="00566FE9" w:rsidRDefault="00574A34" w:rsidP="00574A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ВКР – взнос за кредитный риск;</w:t>
      </w:r>
    </w:p>
    <w:p w14:paraId="1855A379" w14:textId="77777777" w:rsidR="00574A34" w:rsidRPr="00566FE9" w:rsidRDefault="00574A34" w:rsidP="00574A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 xml:space="preserve">Д – депозитная база; </w:t>
      </w:r>
    </w:p>
    <w:p w14:paraId="0DE9849B" w14:textId="42271033" w:rsidR="00574A34" w:rsidRPr="00566FE9" w:rsidRDefault="00574A34" w:rsidP="00574A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СВ – ставка взноса</w:t>
      </w:r>
      <w:r w:rsidR="000F62E0" w:rsidRPr="00566FE9">
        <w:rPr>
          <w:rFonts w:ascii="Times New Roman" w:hAnsi="Times New Roman"/>
          <w:sz w:val="24"/>
          <w:szCs w:val="24"/>
        </w:rPr>
        <w:t xml:space="preserve"> за кредитный риск</w:t>
      </w:r>
      <w:r w:rsidRPr="00566FE9">
        <w:rPr>
          <w:rFonts w:ascii="Times New Roman" w:hAnsi="Times New Roman"/>
          <w:sz w:val="24"/>
          <w:szCs w:val="24"/>
        </w:rPr>
        <w:t>, соответствующая классификационной группе банка-участника согласно приложению 7 к Правилам.</w:t>
      </w:r>
    </w:p>
    <w:p w14:paraId="0C65A584" w14:textId="04E6ED86" w:rsidR="000B46C9" w:rsidRPr="00566FE9" w:rsidRDefault="000B46C9" w:rsidP="00605FB4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Исключен в соответствии с решением Совета директоров Фонда от 14.02.2025 г. №2</w:t>
      </w:r>
    </w:p>
    <w:p w14:paraId="035E3414" w14:textId="548D5A5A" w:rsidR="000B46C9" w:rsidRPr="00566FE9" w:rsidRDefault="000B46C9" w:rsidP="000B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5 изложен в редакции решения Совета директоров Фонда от</w:t>
      </w:r>
      <w:r w:rsidR="009B729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14.02.2025 г. №2, в редакции решения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430BD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4.02.202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6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г. 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№ 4</w:t>
      </w:r>
    </w:p>
    <w:p w14:paraId="5479ED8E" w14:textId="327FA4AA" w:rsidR="00AD504C" w:rsidRPr="00566FE9" w:rsidRDefault="000F62E0" w:rsidP="00605FB4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/>
          <w:sz w:val="24"/>
          <w:szCs w:val="24"/>
        </w:rPr>
        <w:lastRenderedPageBreak/>
        <w:t>Повышенный взнос</w:t>
      </w:r>
      <w:r w:rsidR="007E304C" w:rsidRPr="00566FE9">
        <w:rPr>
          <w:rFonts w:ascii="Times New Roman" w:hAnsi="Times New Roman"/>
          <w:sz w:val="24"/>
          <w:szCs w:val="24"/>
        </w:rPr>
        <w:t xml:space="preserve"> (ПВ1)</w:t>
      </w:r>
      <w:r w:rsidRPr="00566FE9">
        <w:rPr>
          <w:rFonts w:ascii="Times New Roman" w:hAnsi="Times New Roman"/>
          <w:sz w:val="24"/>
          <w:szCs w:val="24"/>
        </w:rPr>
        <w:t xml:space="preserve"> подлежит уплате банком-участником при наличии </w:t>
      </w:r>
      <w:r w:rsidR="007E304C" w:rsidRPr="00566FE9">
        <w:rPr>
          <w:rFonts w:ascii="Times New Roman" w:hAnsi="Times New Roman"/>
          <w:sz w:val="24"/>
          <w:szCs w:val="24"/>
        </w:rPr>
        <w:t xml:space="preserve">(одного </w:t>
      </w:r>
      <w:r w:rsidRPr="00566FE9">
        <w:rPr>
          <w:rFonts w:ascii="Times New Roman" w:hAnsi="Times New Roman"/>
          <w:sz w:val="24"/>
          <w:szCs w:val="24"/>
        </w:rPr>
        <w:t>или одновременно нескольких</w:t>
      </w:r>
      <w:r w:rsidR="007E304C" w:rsidRPr="00566FE9">
        <w:rPr>
          <w:rFonts w:ascii="Times New Roman" w:hAnsi="Times New Roman"/>
          <w:sz w:val="24"/>
          <w:szCs w:val="24"/>
        </w:rPr>
        <w:t>)</w:t>
      </w:r>
      <w:r w:rsidRPr="00566FE9">
        <w:rPr>
          <w:rFonts w:ascii="Times New Roman" w:hAnsi="Times New Roman"/>
          <w:sz w:val="24"/>
          <w:szCs w:val="24"/>
        </w:rPr>
        <w:t xml:space="preserve"> из следующих оснований</w:t>
      </w:r>
      <w:r w:rsidR="00AD504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49B50D4" w14:textId="0EEA6DA7" w:rsidR="00AD504C" w:rsidRPr="00566FE9" w:rsidRDefault="00625921" w:rsidP="0062592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AD504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банком-участником и (или) его партнерами поощрения депозитору либо по его поручению третьим лицам и (или) организация банком-участником акции (акций) о проведении лотереи, розыгрыше и (или) выдаче таких поощрений с целью привлечения депозитов физических лиц; </w:t>
      </w:r>
    </w:p>
    <w:p w14:paraId="1764AEAE" w14:textId="124F7FE7" w:rsidR="00625921" w:rsidRPr="00566FE9" w:rsidRDefault="000F62E0" w:rsidP="00911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sz w:val="24"/>
          <w:szCs w:val="24"/>
        </w:rPr>
        <w:t>2</w:t>
      </w:r>
      <w:r w:rsidR="009F70F8" w:rsidRPr="00566FE9">
        <w:rPr>
          <w:rFonts w:ascii="Times New Roman" w:hAnsi="Times New Roman" w:cs="Times New Roman"/>
          <w:sz w:val="24"/>
          <w:szCs w:val="24"/>
        </w:rPr>
        <w:t>)</w:t>
      </w:r>
      <w:r w:rsidR="00911614" w:rsidRPr="00566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1614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превышение банком-участником предельных ставок вознаграждения по вновь привлеченным вкладам физических лиц в иностранной валюте</w:t>
      </w:r>
      <w:r w:rsidR="00625921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84C6025" w14:textId="5BED5B45" w:rsidR="00911614" w:rsidRPr="00566FE9" w:rsidRDefault="000F62E0" w:rsidP="00911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25921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превышение банком-участником</w:t>
      </w:r>
      <w:r w:rsidR="00911614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максимальных спредов по вкладам с плавающей процентной ставкой в национальной валюте</w:t>
      </w:r>
      <w:r w:rsidR="007A754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26892C3" w14:textId="27965CEE" w:rsidR="00AD504C" w:rsidRPr="00566FE9" w:rsidRDefault="000F62E0" w:rsidP="0062592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25921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AD504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банком-участником депозитов физических лиц посредством услуг посредника.</w:t>
      </w:r>
    </w:p>
    <w:p w14:paraId="7F30161F" w14:textId="244D68EC" w:rsidR="000F62E0" w:rsidRPr="00566FE9" w:rsidRDefault="000F62E0" w:rsidP="0062592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Размер повышенного взноса</w:t>
      </w:r>
      <w:r w:rsidR="007E304C" w:rsidRPr="00566FE9">
        <w:rPr>
          <w:rFonts w:ascii="Times New Roman" w:hAnsi="Times New Roman"/>
          <w:sz w:val="24"/>
          <w:szCs w:val="24"/>
        </w:rPr>
        <w:t xml:space="preserve"> (ПВ1)</w:t>
      </w:r>
      <w:r w:rsidRPr="00566FE9">
        <w:rPr>
          <w:rFonts w:ascii="Times New Roman" w:hAnsi="Times New Roman"/>
          <w:sz w:val="24"/>
          <w:szCs w:val="24"/>
        </w:rPr>
        <w:t xml:space="preserve"> по вышеуказанным основаниям подлежит расчету в соответствии с подпунктом 1) пункта 5-2 Правил.</w:t>
      </w:r>
    </w:p>
    <w:p w14:paraId="54DDA82C" w14:textId="4E2D2F3D" w:rsidR="00C254C1" w:rsidRPr="00566FE9" w:rsidRDefault="003541B9" w:rsidP="00C25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Д</w:t>
      </w:r>
      <w:r w:rsidR="001F708F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ополнен пунктом 5-1 в соответствии с решением Совета директоров Фонда от 14.02.2025 г. №2</w:t>
      </w:r>
      <w:r w:rsidR="00C254C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r w:rsidR="009B729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внесены изменения в соответствии с решением Совета директоров Фонда от 05.11.2025 г. № 25, </w:t>
      </w:r>
      <w:r w:rsidR="00C254C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внесены изменения в соответствии с решением Совета директоров Фонда от </w:t>
      </w:r>
      <w:r w:rsidR="00430BD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24</w:t>
      </w:r>
      <w:r w:rsidR="00C254C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="00430BD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02</w:t>
      </w:r>
      <w:r w:rsidR="00C254C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.202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6</w:t>
      </w:r>
      <w:r w:rsidR="00C254C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г. 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№ 4</w:t>
      </w:r>
    </w:p>
    <w:p w14:paraId="12139CB4" w14:textId="437E44CE" w:rsidR="000F62E0" w:rsidRPr="00566FE9" w:rsidRDefault="000F62E0" w:rsidP="000F62E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 xml:space="preserve">5-1. Повышенный взнос </w:t>
      </w:r>
      <w:r w:rsidR="007E304C" w:rsidRPr="00566FE9">
        <w:rPr>
          <w:rFonts w:ascii="Times New Roman" w:hAnsi="Times New Roman"/>
          <w:sz w:val="24"/>
          <w:szCs w:val="24"/>
        </w:rPr>
        <w:t xml:space="preserve">(ПВ2) </w:t>
      </w:r>
      <w:r w:rsidRPr="00566FE9">
        <w:rPr>
          <w:rFonts w:ascii="Times New Roman" w:hAnsi="Times New Roman"/>
          <w:sz w:val="24"/>
          <w:szCs w:val="24"/>
        </w:rPr>
        <w:t>подлежит уплате банком</w:t>
      </w:r>
      <w:r w:rsidR="007E304C" w:rsidRPr="00566FE9">
        <w:rPr>
          <w:rFonts w:ascii="Times New Roman" w:hAnsi="Times New Roman"/>
          <w:sz w:val="24"/>
          <w:szCs w:val="24"/>
        </w:rPr>
        <w:t>-участником</w:t>
      </w:r>
      <w:r w:rsidRPr="00566FE9">
        <w:rPr>
          <w:rFonts w:ascii="Times New Roman" w:hAnsi="Times New Roman"/>
          <w:sz w:val="24"/>
          <w:szCs w:val="24"/>
        </w:rPr>
        <w:t xml:space="preserve"> в случае превышения средневзвешенной ставки банка</w:t>
      </w:r>
      <w:r w:rsidR="007E304C" w:rsidRPr="00566FE9">
        <w:rPr>
          <w:rFonts w:ascii="Times New Roman" w:hAnsi="Times New Roman"/>
          <w:sz w:val="24"/>
          <w:szCs w:val="24"/>
        </w:rPr>
        <w:t>-участника</w:t>
      </w:r>
      <w:r w:rsidRPr="00566FE9">
        <w:rPr>
          <w:rFonts w:ascii="Times New Roman" w:hAnsi="Times New Roman"/>
          <w:sz w:val="24"/>
          <w:szCs w:val="24"/>
        </w:rPr>
        <w:t xml:space="preserve"> по группе вкладов над соответствующей предельной ставкой вознаграждения по вновь привлеченным вкладам физических лиц с фиксированной процентной ставкой в национальной валюте. </w:t>
      </w:r>
    </w:p>
    <w:p w14:paraId="156F642F" w14:textId="028F2E53" w:rsidR="000F62E0" w:rsidRPr="00566FE9" w:rsidRDefault="007E304C" w:rsidP="000F62E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П</w:t>
      </w:r>
      <w:r w:rsidR="000F62E0" w:rsidRPr="00566FE9">
        <w:rPr>
          <w:rFonts w:ascii="Times New Roman" w:hAnsi="Times New Roman"/>
          <w:sz w:val="24"/>
          <w:szCs w:val="24"/>
        </w:rPr>
        <w:t>ревышени</w:t>
      </w:r>
      <w:r w:rsidR="009B7291" w:rsidRPr="00566FE9">
        <w:rPr>
          <w:rFonts w:ascii="Times New Roman" w:hAnsi="Times New Roman"/>
          <w:sz w:val="24"/>
          <w:szCs w:val="24"/>
        </w:rPr>
        <w:t>е</w:t>
      </w:r>
      <w:r w:rsidR="000F62E0" w:rsidRPr="00566FE9">
        <w:rPr>
          <w:rFonts w:ascii="Times New Roman" w:hAnsi="Times New Roman"/>
          <w:sz w:val="24"/>
          <w:szCs w:val="24"/>
        </w:rPr>
        <w:t xml:space="preserve"> банком</w:t>
      </w:r>
      <w:r w:rsidRPr="00566FE9">
        <w:rPr>
          <w:rFonts w:ascii="Times New Roman" w:hAnsi="Times New Roman"/>
          <w:sz w:val="24"/>
          <w:szCs w:val="24"/>
        </w:rPr>
        <w:t>-участником</w:t>
      </w:r>
      <w:r w:rsidR="000F62E0" w:rsidRPr="00566FE9">
        <w:rPr>
          <w:rFonts w:ascii="Times New Roman" w:hAnsi="Times New Roman"/>
          <w:sz w:val="24"/>
          <w:szCs w:val="24"/>
        </w:rPr>
        <w:t xml:space="preserve"> предельных ставок вознаграждения по вкладам, по которым часть вознаграждения субсидируется государством (в рамках системы жилищных строительных сбережений, государственной образовательной накопительной системы) или предусмотрены премии государства, не являются основанием для применения к банку повышенного взноса. </w:t>
      </w:r>
    </w:p>
    <w:p w14:paraId="6D631ACA" w14:textId="2FE09301" w:rsidR="000F62E0" w:rsidRPr="00566FE9" w:rsidRDefault="007E304C" w:rsidP="000F62E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Р</w:t>
      </w:r>
      <w:r w:rsidR="000F62E0" w:rsidRPr="00566FE9">
        <w:rPr>
          <w:rFonts w:ascii="Times New Roman" w:hAnsi="Times New Roman"/>
          <w:sz w:val="24"/>
          <w:szCs w:val="24"/>
        </w:rPr>
        <w:t>азмер повышенного взноса</w:t>
      </w:r>
      <w:r w:rsidRPr="00566FE9">
        <w:rPr>
          <w:rFonts w:ascii="Times New Roman" w:hAnsi="Times New Roman"/>
          <w:sz w:val="24"/>
          <w:szCs w:val="24"/>
        </w:rPr>
        <w:t xml:space="preserve"> (ПВ2)</w:t>
      </w:r>
      <w:r w:rsidR="000F62E0" w:rsidRPr="00566FE9">
        <w:rPr>
          <w:rFonts w:ascii="Times New Roman" w:hAnsi="Times New Roman"/>
          <w:sz w:val="24"/>
          <w:szCs w:val="24"/>
        </w:rPr>
        <w:t xml:space="preserve"> подлежит расчету в соответствии с </w:t>
      </w:r>
      <w:r w:rsidR="00626CA5" w:rsidRPr="00566FE9">
        <w:rPr>
          <w:rFonts w:ascii="Times New Roman" w:hAnsi="Times New Roman"/>
          <w:sz w:val="24"/>
          <w:szCs w:val="24"/>
        </w:rPr>
        <w:t xml:space="preserve">подпунктами 2) и 3) </w:t>
      </w:r>
      <w:r w:rsidR="000F62E0" w:rsidRPr="00566FE9">
        <w:rPr>
          <w:rFonts w:ascii="Times New Roman" w:hAnsi="Times New Roman"/>
          <w:sz w:val="24"/>
          <w:szCs w:val="24"/>
        </w:rPr>
        <w:t xml:space="preserve">пункта 5-2 Правил. </w:t>
      </w:r>
    </w:p>
    <w:p w14:paraId="5FD61C83" w14:textId="49F0D91A" w:rsidR="000F62E0" w:rsidRPr="00566FE9" w:rsidRDefault="000F62E0" w:rsidP="000F62E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При наличии одновременно этого основания и одного или нескольких оснований, предусмотренных пунктом 5 Правил, размер повышенного взноса, подлежащего уплате банком</w:t>
      </w:r>
      <w:r w:rsidR="007E304C" w:rsidRPr="00566FE9">
        <w:rPr>
          <w:rFonts w:ascii="Times New Roman" w:hAnsi="Times New Roman"/>
          <w:sz w:val="24"/>
          <w:szCs w:val="24"/>
        </w:rPr>
        <w:t>-участником</w:t>
      </w:r>
      <w:r w:rsidRPr="00566FE9">
        <w:rPr>
          <w:rFonts w:ascii="Times New Roman" w:hAnsi="Times New Roman"/>
          <w:sz w:val="24"/>
          <w:szCs w:val="24"/>
        </w:rPr>
        <w:t>, устанавливается в сумме размера повышенного взноса</w:t>
      </w:r>
      <w:r w:rsidR="009B7291" w:rsidRPr="00566FE9">
        <w:rPr>
          <w:rFonts w:ascii="Times New Roman" w:hAnsi="Times New Roman"/>
          <w:sz w:val="24"/>
          <w:szCs w:val="24"/>
        </w:rPr>
        <w:t xml:space="preserve"> </w:t>
      </w:r>
      <w:r w:rsidR="007E304C" w:rsidRPr="00566FE9">
        <w:rPr>
          <w:rFonts w:ascii="Times New Roman" w:hAnsi="Times New Roman"/>
          <w:sz w:val="24"/>
          <w:szCs w:val="24"/>
        </w:rPr>
        <w:t>(ПВ1)</w:t>
      </w:r>
      <w:r w:rsidRPr="00566FE9">
        <w:rPr>
          <w:rFonts w:ascii="Times New Roman" w:hAnsi="Times New Roman"/>
          <w:sz w:val="24"/>
          <w:szCs w:val="24"/>
        </w:rPr>
        <w:t>, рассчитанного в соответствии с подпунктом 1) пункта 5-2 Правил, и размера повышенного взноса</w:t>
      </w:r>
      <w:r w:rsidR="007E304C" w:rsidRPr="00566FE9">
        <w:rPr>
          <w:rFonts w:ascii="Times New Roman" w:hAnsi="Times New Roman"/>
          <w:sz w:val="24"/>
          <w:szCs w:val="24"/>
        </w:rPr>
        <w:t xml:space="preserve"> (ПВ2)</w:t>
      </w:r>
      <w:r w:rsidRPr="00566FE9">
        <w:rPr>
          <w:rFonts w:ascii="Times New Roman" w:hAnsi="Times New Roman"/>
          <w:sz w:val="24"/>
          <w:szCs w:val="24"/>
        </w:rPr>
        <w:t xml:space="preserve">, рассчитанного в соответствии с </w:t>
      </w:r>
      <w:r w:rsidR="00626CA5" w:rsidRPr="00566FE9">
        <w:rPr>
          <w:rFonts w:ascii="Times New Roman" w:hAnsi="Times New Roman"/>
          <w:sz w:val="24"/>
          <w:szCs w:val="24"/>
        </w:rPr>
        <w:t xml:space="preserve">подпунктами 2) и 3) </w:t>
      </w:r>
      <w:r w:rsidRPr="00566FE9">
        <w:rPr>
          <w:rFonts w:ascii="Times New Roman" w:hAnsi="Times New Roman"/>
          <w:sz w:val="24"/>
          <w:szCs w:val="24"/>
        </w:rPr>
        <w:t>пункта 5-2 Правил.</w:t>
      </w:r>
    </w:p>
    <w:p w14:paraId="7C1CF92C" w14:textId="14816BFC" w:rsidR="004E00A0" w:rsidRPr="00566FE9" w:rsidRDefault="003541B9" w:rsidP="004E00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Д</w:t>
      </w:r>
      <w:r w:rsidR="004E00A0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ополнен пунктом 5-2 в соответствии с решением Совета директоров Фонда от 14.02.2025 г. №2</w:t>
      </w:r>
    </w:p>
    <w:p w14:paraId="0CA9C6A4" w14:textId="7BA080D4" w:rsidR="00625921" w:rsidRPr="00566FE9" w:rsidRDefault="00625921" w:rsidP="00625921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5525B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6FE9">
        <w:rPr>
          <w:rFonts w:ascii="Times New Roman" w:hAnsi="Times New Roman"/>
          <w:sz w:val="24"/>
          <w:szCs w:val="24"/>
        </w:rPr>
        <w:t xml:space="preserve">Повышенный взнос </w:t>
      </w:r>
      <w:r w:rsidR="005525B9" w:rsidRPr="00566FE9">
        <w:rPr>
          <w:rFonts w:ascii="Times New Roman" w:hAnsi="Times New Roman"/>
          <w:sz w:val="24"/>
          <w:szCs w:val="24"/>
        </w:rPr>
        <w:t>подлежит уплате банком-участником при наличии оснований, установленных пунктами 5, 5-1 Правил</w:t>
      </w:r>
      <w:r w:rsidRPr="00566FE9">
        <w:rPr>
          <w:rFonts w:ascii="Times New Roman" w:hAnsi="Times New Roman"/>
          <w:sz w:val="24"/>
          <w:szCs w:val="24"/>
        </w:rPr>
        <w:t>, и рассчитывается следующим образом:</w:t>
      </w:r>
    </w:p>
    <w:p w14:paraId="6836320E" w14:textId="68FE27C6" w:rsidR="00625921" w:rsidRPr="00566FE9" w:rsidRDefault="00625921" w:rsidP="00625921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 xml:space="preserve">1) </w:t>
      </w:r>
      <w:r w:rsidRPr="00566FE9">
        <w:rPr>
          <w:rFonts w:ascii="Times New Roman" w:hAnsi="Times New Roman"/>
          <w:sz w:val="24"/>
          <w:szCs w:val="24"/>
        </w:rPr>
        <w:tab/>
      </w:r>
      <w:r w:rsidR="005525B9" w:rsidRPr="00566FE9">
        <w:rPr>
          <w:rFonts w:ascii="Times New Roman" w:hAnsi="Times New Roman"/>
          <w:sz w:val="24"/>
          <w:szCs w:val="24"/>
        </w:rPr>
        <w:t>если имеет место одно или одновременно несколько оснований определения повышенного взноса, установленных пунктом 5 Правил, то повышенный взнос рассчитывается по следующей формуле</w:t>
      </w:r>
      <w:r w:rsidRPr="00566FE9">
        <w:rPr>
          <w:rFonts w:ascii="Times New Roman" w:hAnsi="Times New Roman"/>
          <w:sz w:val="24"/>
          <w:szCs w:val="24"/>
        </w:rPr>
        <w:t>:</w:t>
      </w:r>
    </w:p>
    <w:p w14:paraId="6BB097E1" w14:textId="77777777" w:rsidR="00625921" w:rsidRPr="00566FE9" w:rsidRDefault="00625921" w:rsidP="00625921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22B30EF" w14:textId="681AA365" w:rsidR="00625921" w:rsidRPr="00566FE9" w:rsidRDefault="00625921" w:rsidP="00625921">
      <w:pPr>
        <w:tabs>
          <w:tab w:val="left" w:pos="0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ПВ1 = MIN ((</w:t>
      </w:r>
      <w:r w:rsidR="00C3079E" w:rsidRPr="00566FE9">
        <w:rPr>
          <w:rFonts w:ascii="Times New Roman" w:hAnsi="Times New Roman"/>
          <w:sz w:val="24"/>
          <w:szCs w:val="24"/>
        </w:rPr>
        <w:t>0,5%</w:t>
      </w:r>
      <w:r w:rsidRPr="00566FE9">
        <w:rPr>
          <w:rFonts w:ascii="Times New Roman" w:hAnsi="Times New Roman"/>
          <w:sz w:val="24"/>
          <w:szCs w:val="24"/>
        </w:rPr>
        <w:t xml:space="preserve"> – СВ) * Д; 400 млн тенге),</w:t>
      </w:r>
    </w:p>
    <w:p w14:paraId="00A8B6F9" w14:textId="77777777" w:rsidR="00625921" w:rsidRPr="00566FE9" w:rsidRDefault="00625921" w:rsidP="00625921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00FF3D" w14:textId="70BF9449" w:rsidR="00625921" w:rsidRPr="00566FE9" w:rsidRDefault="00625921" w:rsidP="00625921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 xml:space="preserve">где </w:t>
      </w:r>
    </w:p>
    <w:p w14:paraId="174CACC5" w14:textId="31239A87" w:rsidR="00625921" w:rsidRPr="00566FE9" w:rsidRDefault="00625921" w:rsidP="00625921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ПВ1 – повышенный взнос по основаниям, установленным</w:t>
      </w:r>
      <w:r w:rsidR="004A3B50" w:rsidRPr="00566FE9">
        <w:rPr>
          <w:rFonts w:ascii="Times New Roman" w:hAnsi="Times New Roman"/>
          <w:sz w:val="24"/>
          <w:szCs w:val="24"/>
        </w:rPr>
        <w:t xml:space="preserve"> </w:t>
      </w:r>
      <w:r w:rsidR="005525B9" w:rsidRPr="00566FE9">
        <w:rPr>
          <w:rFonts w:ascii="Times New Roman" w:hAnsi="Times New Roman"/>
          <w:sz w:val="24"/>
          <w:szCs w:val="24"/>
        </w:rPr>
        <w:t>пунктом</w:t>
      </w:r>
      <w:r w:rsidRPr="00566FE9">
        <w:rPr>
          <w:rFonts w:ascii="Times New Roman" w:hAnsi="Times New Roman"/>
          <w:sz w:val="24"/>
          <w:szCs w:val="24"/>
        </w:rPr>
        <w:t xml:space="preserve"> 5 Правил;</w:t>
      </w:r>
    </w:p>
    <w:p w14:paraId="777D5F00" w14:textId="77777777" w:rsidR="00625921" w:rsidRPr="00566FE9" w:rsidRDefault="00625921" w:rsidP="00625921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СВ – ставка взноса за кредитный риск, соответствующая классификационной группе банка-участника согласно приложению 7 к Правилам;</w:t>
      </w:r>
    </w:p>
    <w:p w14:paraId="1FB28CF2" w14:textId="7099CDDD" w:rsidR="00625921" w:rsidRPr="00566FE9" w:rsidRDefault="00625921" w:rsidP="00625921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Д – депозитная база;</w:t>
      </w:r>
    </w:p>
    <w:p w14:paraId="323868E3" w14:textId="031571FA" w:rsidR="009231AA" w:rsidRPr="00566FE9" w:rsidRDefault="009231AA" w:rsidP="00625921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_Hlk186459538"/>
      <w:r w:rsidRPr="00566FE9">
        <w:rPr>
          <w:rFonts w:ascii="Times New Roman" w:hAnsi="Times New Roman"/>
          <w:sz w:val="24"/>
          <w:szCs w:val="24"/>
        </w:rPr>
        <w:lastRenderedPageBreak/>
        <w:t>MIN – оператор наименьшего значения, который означает, что размер ПВ1 банка-участника не должен превышать 400 000 000 (четыреста миллионов) тенге</w:t>
      </w:r>
      <w:r w:rsidR="005525B9" w:rsidRPr="00566FE9">
        <w:rPr>
          <w:rFonts w:ascii="Times New Roman" w:hAnsi="Times New Roman"/>
          <w:sz w:val="24"/>
          <w:szCs w:val="24"/>
        </w:rPr>
        <w:t>;</w:t>
      </w:r>
      <w:bookmarkEnd w:id="5"/>
    </w:p>
    <w:p w14:paraId="68C245E8" w14:textId="77777777" w:rsidR="00A85EA1" w:rsidRPr="00566FE9" w:rsidRDefault="00A85EA1" w:rsidP="00625921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F1A6009" w14:textId="3FFBCD16" w:rsidR="00C254C1" w:rsidRPr="00566FE9" w:rsidRDefault="00C254C1" w:rsidP="00C254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Подпункт 2) изложен в редакции в соответствии с решением Совета директоров Фонда от 05.11.2025 г. № 25</w:t>
      </w:r>
    </w:p>
    <w:p w14:paraId="1FD5E2D4" w14:textId="4BB84953" w:rsidR="00625921" w:rsidRPr="00566FE9" w:rsidRDefault="00625921" w:rsidP="00625921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 xml:space="preserve">2) </w:t>
      </w:r>
      <w:r w:rsidR="005525B9" w:rsidRPr="00566FE9">
        <w:rPr>
          <w:rFonts w:ascii="Times New Roman" w:hAnsi="Times New Roman"/>
          <w:sz w:val="24"/>
          <w:szCs w:val="24"/>
        </w:rPr>
        <w:t>если имеет место основание</w:t>
      </w:r>
      <w:r w:rsidR="005525B9" w:rsidRPr="00566FE9">
        <w:rPr>
          <w:sz w:val="24"/>
          <w:szCs w:val="24"/>
        </w:rPr>
        <w:t xml:space="preserve"> </w:t>
      </w:r>
      <w:r w:rsidR="005525B9" w:rsidRPr="00566FE9">
        <w:rPr>
          <w:rFonts w:ascii="Times New Roman" w:hAnsi="Times New Roman"/>
          <w:sz w:val="24"/>
          <w:szCs w:val="24"/>
        </w:rPr>
        <w:t>определения повышенного взноса, установленное пунктом 5-1 Правил</w:t>
      </w:r>
      <w:r w:rsidRPr="00566FE9">
        <w:rPr>
          <w:rFonts w:ascii="Times New Roman" w:hAnsi="Times New Roman"/>
          <w:sz w:val="24"/>
          <w:szCs w:val="24"/>
        </w:rPr>
        <w:t xml:space="preserve">, </w:t>
      </w:r>
      <w:r w:rsidR="00626CA5" w:rsidRPr="00566FE9">
        <w:rPr>
          <w:rFonts w:ascii="Times New Roman" w:hAnsi="Times New Roman"/>
          <w:sz w:val="24"/>
          <w:szCs w:val="24"/>
        </w:rPr>
        <w:t>по вкладам, соответствующим условиям срочности,</w:t>
      </w:r>
      <w:r w:rsidR="00626CA5" w:rsidRPr="00566F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66FE9">
        <w:rPr>
          <w:rFonts w:ascii="Times New Roman" w:hAnsi="Times New Roman"/>
          <w:sz w:val="24"/>
          <w:szCs w:val="24"/>
        </w:rPr>
        <w:t>то повышенный взнос рассчитывается по каждой группе вкладов</w:t>
      </w:r>
      <w:r w:rsidR="00626CA5" w:rsidRPr="00566FE9">
        <w:rPr>
          <w:rFonts w:ascii="Times New Roman" w:hAnsi="Times New Roman"/>
          <w:sz w:val="24"/>
          <w:szCs w:val="24"/>
        </w:rPr>
        <w:t>, соответствующих условиям срочности,</w:t>
      </w:r>
      <w:r w:rsidRPr="00566FE9">
        <w:rPr>
          <w:rFonts w:ascii="Times New Roman" w:hAnsi="Times New Roman"/>
          <w:sz w:val="24"/>
          <w:szCs w:val="24"/>
        </w:rPr>
        <w:t xml:space="preserve"> как произведение объема привлечения, положительного превышения предельной ставки и коэффициента, и суммируется по всем группам</w:t>
      </w:r>
      <w:r w:rsidR="00A85EA1" w:rsidRPr="00566FE9">
        <w:rPr>
          <w:rFonts w:ascii="Times New Roman" w:hAnsi="Times New Roman"/>
          <w:sz w:val="24"/>
          <w:szCs w:val="24"/>
        </w:rPr>
        <w:t xml:space="preserve"> вкладов</w:t>
      </w:r>
      <w:r w:rsidR="00626CA5" w:rsidRPr="00566FE9">
        <w:rPr>
          <w:rFonts w:ascii="Times New Roman" w:hAnsi="Times New Roman"/>
          <w:sz w:val="24"/>
          <w:szCs w:val="24"/>
        </w:rPr>
        <w:t>, соответствующих условиям срочности</w:t>
      </w:r>
      <w:r w:rsidRPr="00566FE9">
        <w:rPr>
          <w:rFonts w:ascii="Times New Roman" w:hAnsi="Times New Roman"/>
          <w:sz w:val="24"/>
          <w:szCs w:val="24"/>
        </w:rPr>
        <w:t xml:space="preserve">: </w:t>
      </w:r>
    </w:p>
    <w:p w14:paraId="17563F27" w14:textId="77777777" w:rsidR="00625921" w:rsidRPr="00566FE9" w:rsidRDefault="00625921" w:rsidP="00625921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B6B9A5B" w14:textId="68D81E5D" w:rsidR="00625921" w:rsidRPr="00566FE9" w:rsidRDefault="00625921" w:rsidP="00625921">
      <w:pPr>
        <w:tabs>
          <w:tab w:val="left" w:pos="0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 xml:space="preserve">ПВ2 = k * </w:t>
      </w:r>
      <w:r w:rsidRPr="00566FE9">
        <w:rPr>
          <w:rFonts w:ascii="Times New Roman" w:hAnsi="Times New Roman"/>
          <w:sz w:val="24"/>
          <w:szCs w:val="24"/>
        </w:rPr>
        <w:sym w:font="Symbol" w:char="F053"/>
      </w:r>
      <w:r w:rsidRPr="00566FE9">
        <w:rPr>
          <w:rFonts w:ascii="Times New Roman" w:hAnsi="Times New Roman"/>
          <w:sz w:val="24"/>
          <w:szCs w:val="24"/>
        </w:rPr>
        <w:t xml:space="preserve"> Q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r w:rsidRPr="00566FE9">
        <w:rPr>
          <w:rFonts w:ascii="Times New Roman" w:hAnsi="Times New Roman"/>
          <w:sz w:val="24"/>
          <w:szCs w:val="24"/>
        </w:rPr>
        <w:t xml:space="preserve"> * MAX (0; R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r w:rsidRPr="00566FE9">
        <w:rPr>
          <w:rFonts w:ascii="Times New Roman" w:hAnsi="Times New Roman"/>
          <w:sz w:val="24"/>
          <w:szCs w:val="24"/>
        </w:rPr>
        <w:t xml:space="preserve"> - ПСВ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r w:rsidRPr="00566FE9">
        <w:rPr>
          <w:rFonts w:ascii="Times New Roman" w:hAnsi="Times New Roman"/>
          <w:sz w:val="24"/>
          <w:szCs w:val="24"/>
        </w:rPr>
        <w:t>),</w:t>
      </w:r>
    </w:p>
    <w:p w14:paraId="4ADAF096" w14:textId="77777777" w:rsidR="00625921" w:rsidRPr="00566FE9" w:rsidRDefault="00625921" w:rsidP="006259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A0D8FDE" w14:textId="33792DB3" w:rsidR="00625921" w:rsidRPr="00566FE9" w:rsidRDefault="00625921" w:rsidP="006259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 xml:space="preserve">где </w:t>
      </w:r>
    </w:p>
    <w:p w14:paraId="15550667" w14:textId="422C2F95" w:rsidR="00625921" w:rsidRPr="00566FE9" w:rsidRDefault="00625921" w:rsidP="006259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 xml:space="preserve">ПВ2 – повышенный взнос по основанию, установленному </w:t>
      </w:r>
      <w:r w:rsidR="005525B9" w:rsidRPr="00566FE9">
        <w:rPr>
          <w:rFonts w:ascii="Times New Roman" w:hAnsi="Times New Roman"/>
          <w:sz w:val="24"/>
          <w:szCs w:val="24"/>
        </w:rPr>
        <w:t>пунктом</w:t>
      </w:r>
      <w:r w:rsidRPr="00566FE9">
        <w:rPr>
          <w:rFonts w:ascii="Times New Roman" w:hAnsi="Times New Roman"/>
          <w:sz w:val="24"/>
          <w:szCs w:val="24"/>
        </w:rPr>
        <w:t xml:space="preserve"> 5</w:t>
      </w:r>
      <w:r w:rsidR="005525B9" w:rsidRPr="00566FE9">
        <w:rPr>
          <w:rFonts w:ascii="Times New Roman" w:hAnsi="Times New Roman"/>
          <w:sz w:val="24"/>
          <w:szCs w:val="24"/>
        </w:rPr>
        <w:t>-1</w:t>
      </w:r>
      <w:r w:rsidRPr="00566FE9">
        <w:rPr>
          <w:rFonts w:ascii="Times New Roman" w:hAnsi="Times New Roman"/>
          <w:sz w:val="24"/>
          <w:szCs w:val="24"/>
        </w:rPr>
        <w:t xml:space="preserve"> Правил;</w:t>
      </w:r>
    </w:p>
    <w:p w14:paraId="79E34D38" w14:textId="77777777" w:rsidR="00625921" w:rsidRPr="00566FE9" w:rsidRDefault="00625921" w:rsidP="006259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k – коэффициент, определяющий размер повышенного взноса;</w:t>
      </w:r>
    </w:p>
    <w:p w14:paraId="20165934" w14:textId="46C89D44" w:rsidR="00625921" w:rsidRPr="00566FE9" w:rsidRDefault="00625921" w:rsidP="006259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Q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r w:rsidRPr="00566FE9">
        <w:rPr>
          <w:rFonts w:ascii="Times New Roman" w:hAnsi="Times New Roman"/>
          <w:sz w:val="24"/>
          <w:szCs w:val="24"/>
        </w:rPr>
        <w:t xml:space="preserve"> – объем привлечения банком-участником вкладов j</w:t>
      </w:r>
      <w:r w:rsidR="00626CA5" w:rsidRPr="00566FE9">
        <w:rPr>
          <w:rFonts w:ascii="Times New Roman" w:hAnsi="Times New Roman"/>
          <w:sz w:val="24"/>
          <w:szCs w:val="24"/>
        </w:rPr>
        <w:t xml:space="preserve">, соответствующих условиям срочности, </w:t>
      </w:r>
      <w:r w:rsidRPr="00566FE9">
        <w:rPr>
          <w:rFonts w:ascii="Times New Roman" w:hAnsi="Times New Roman"/>
          <w:sz w:val="24"/>
          <w:szCs w:val="24"/>
        </w:rPr>
        <w:t>в отчетном периоде t;</w:t>
      </w:r>
    </w:p>
    <w:p w14:paraId="1468DD1C" w14:textId="322EBBE2" w:rsidR="00625921" w:rsidRPr="00566FE9" w:rsidRDefault="00625921" w:rsidP="006259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R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r w:rsidRPr="00566FE9">
        <w:rPr>
          <w:rFonts w:ascii="Times New Roman" w:hAnsi="Times New Roman"/>
          <w:sz w:val="24"/>
          <w:szCs w:val="24"/>
        </w:rPr>
        <w:t xml:space="preserve"> – средневзвешенная ставка вознаграждения банка-участника по привлеченным вкладам j</w:t>
      </w:r>
      <w:r w:rsidR="00626CA5" w:rsidRPr="00566FE9">
        <w:rPr>
          <w:rFonts w:ascii="Times New Roman" w:hAnsi="Times New Roman"/>
          <w:sz w:val="24"/>
          <w:szCs w:val="24"/>
        </w:rPr>
        <w:t>, соответствующим условиям срочности,</w:t>
      </w:r>
      <w:r w:rsidRPr="00566FE9">
        <w:rPr>
          <w:rFonts w:ascii="Times New Roman" w:hAnsi="Times New Roman"/>
          <w:sz w:val="24"/>
          <w:szCs w:val="24"/>
        </w:rPr>
        <w:t xml:space="preserve"> в отчетном периоде t;</w:t>
      </w:r>
    </w:p>
    <w:p w14:paraId="15F73E03" w14:textId="0BC48D94" w:rsidR="00625921" w:rsidRPr="00566FE9" w:rsidRDefault="00625921" w:rsidP="006259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ПСВ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r w:rsidRPr="00566FE9">
        <w:rPr>
          <w:rFonts w:ascii="Times New Roman" w:hAnsi="Times New Roman"/>
          <w:sz w:val="24"/>
          <w:szCs w:val="24"/>
        </w:rPr>
        <w:t xml:space="preserve"> – предельная ставка вознаграждения, которая рассчитывается в соответствии с Методикой как рыночная средневзвешенная ставка по группе вкладов j, </w:t>
      </w:r>
      <w:r w:rsidR="00626CA5" w:rsidRPr="00566FE9">
        <w:rPr>
          <w:rFonts w:ascii="Times New Roman" w:hAnsi="Times New Roman"/>
          <w:sz w:val="24"/>
          <w:szCs w:val="24"/>
        </w:rPr>
        <w:t>соответствующих условиям срочности,</w:t>
      </w:r>
      <w:r w:rsidR="00626CA5" w:rsidRPr="00566F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66FE9">
        <w:rPr>
          <w:rFonts w:ascii="Times New Roman" w:hAnsi="Times New Roman"/>
          <w:sz w:val="24"/>
          <w:szCs w:val="24"/>
        </w:rPr>
        <w:t>привлеченных в отчетном периоде t, увеличенная на размер спреда;</w:t>
      </w:r>
    </w:p>
    <w:p w14:paraId="4912AD77" w14:textId="77777777" w:rsidR="00625921" w:rsidRPr="00566FE9" w:rsidRDefault="00625921" w:rsidP="006259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MAX – оператор наибольшего значения, который приравнивает повышенный взнос ПВ2 нулю, если ставка банка-участника R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r w:rsidRPr="00566FE9">
        <w:rPr>
          <w:rFonts w:ascii="Times New Roman" w:hAnsi="Times New Roman"/>
          <w:sz w:val="24"/>
          <w:szCs w:val="24"/>
        </w:rPr>
        <w:t xml:space="preserve"> не превышает предельную ставку вознаграждения ПСВ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r w:rsidRPr="00566FE9">
        <w:rPr>
          <w:rFonts w:ascii="Times New Roman" w:hAnsi="Times New Roman"/>
          <w:sz w:val="24"/>
          <w:szCs w:val="24"/>
        </w:rPr>
        <w:t>;</w:t>
      </w:r>
    </w:p>
    <w:p w14:paraId="6C9586CB" w14:textId="27CBB205" w:rsidR="00625921" w:rsidRPr="00566FE9" w:rsidRDefault="00625921" w:rsidP="006259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 xml:space="preserve">j – группа </w:t>
      </w:r>
      <w:r w:rsidR="00626CA5" w:rsidRPr="00566FE9">
        <w:rPr>
          <w:rFonts w:ascii="Times New Roman" w:hAnsi="Times New Roman"/>
          <w:sz w:val="24"/>
          <w:szCs w:val="24"/>
        </w:rPr>
        <w:t>вкладов, соответствующих условиям срочности,</w:t>
      </w:r>
      <w:r w:rsidRPr="00566FE9">
        <w:rPr>
          <w:rFonts w:ascii="Times New Roman" w:hAnsi="Times New Roman"/>
          <w:sz w:val="24"/>
          <w:szCs w:val="24"/>
        </w:rPr>
        <w:t xml:space="preserve"> согласно Методике;</w:t>
      </w:r>
    </w:p>
    <w:p w14:paraId="7644606C" w14:textId="4E77E835" w:rsidR="00A85EA1" w:rsidRPr="00566FE9" w:rsidRDefault="00625921" w:rsidP="00566FE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t – отчетный месяц.</w:t>
      </w:r>
    </w:p>
    <w:p w14:paraId="30103ABE" w14:textId="45E4D5F7" w:rsidR="009502CC" w:rsidRPr="00566FE9" w:rsidRDefault="00A85EA1" w:rsidP="00A85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Дополнен подпунктом 3) в соответствии с решением Совета директоров Фонда от 05.11.2025 г. №25</w:t>
      </w:r>
      <w:r w:rsidR="009B729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; в</w:t>
      </w:r>
      <w:r w:rsidR="009502CC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часть третью подпункта 3) пункта 5-2 внесены изменения</w:t>
      </w:r>
      <w:r w:rsidR="009502C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02CC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 соответствии с решением Совета директоров Фонда от </w:t>
      </w:r>
      <w:r w:rsidR="00E4733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24.02</w:t>
      </w:r>
      <w:r w:rsidR="009502CC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.2026 г. 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№ 4</w:t>
      </w:r>
    </w:p>
    <w:p w14:paraId="670300DC" w14:textId="77777777" w:rsidR="00626CA5" w:rsidRPr="00566FE9" w:rsidRDefault="00626CA5" w:rsidP="00626CA5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 xml:space="preserve">3) </w:t>
      </w:r>
      <w:r w:rsidRPr="00566FE9">
        <w:rPr>
          <w:rFonts w:ascii="Times New Roman" w:hAnsi="Times New Roman"/>
          <w:sz w:val="24"/>
          <w:szCs w:val="24"/>
        </w:rPr>
        <w:tab/>
        <w:t>если имеет место основание</w:t>
      </w:r>
      <w:r w:rsidRPr="00566FE9">
        <w:rPr>
          <w:sz w:val="24"/>
          <w:szCs w:val="24"/>
        </w:rPr>
        <w:t xml:space="preserve"> </w:t>
      </w:r>
      <w:r w:rsidRPr="00566FE9">
        <w:rPr>
          <w:rFonts w:ascii="Times New Roman" w:hAnsi="Times New Roman"/>
          <w:sz w:val="24"/>
          <w:szCs w:val="24"/>
        </w:rPr>
        <w:t xml:space="preserve">определения повышенного взноса, установленное пунктом 5-1 Правил, по вкладам, не соответствующим условиям срочности, то повышенный взнос рассчитывается как произведение объема привлечения, срока удержания, положительного превышения предельной ставки и коэффициента: </w:t>
      </w:r>
    </w:p>
    <w:p w14:paraId="7944D97A" w14:textId="77777777" w:rsidR="00626CA5" w:rsidRPr="00566FE9" w:rsidRDefault="00626CA5" w:rsidP="00626CA5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1580A30" w14:textId="77777777" w:rsidR="00626CA5" w:rsidRPr="00566FE9" w:rsidRDefault="00626CA5" w:rsidP="00626CA5">
      <w:pPr>
        <w:tabs>
          <w:tab w:val="left" w:pos="0"/>
          <w:tab w:val="left" w:pos="1418"/>
        </w:tabs>
        <w:spacing w:after="0" w:line="240" w:lineRule="auto"/>
        <w:ind w:firstLine="35"/>
        <w:jc w:val="center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 xml:space="preserve">ПВ2 = k * </w:t>
      </w:r>
      <w:r w:rsidRPr="00566FE9">
        <w:rPr>
          <w:rFonts w:ascii="Times New Roman" w:hAnsi="Times New Roman"/>
          <w:sz w:val="24"/>
          <w:szCs w:val="24"/>
        </w:rPr>
        <w:sym w:font="Symbol" w:char="F053"/>
      </w:r>
      <w:r w:rsidRPr="00566FE9">
        <w:rPr>
          <w:rFonts w:ascii="Times New Roman" w:hAnsi="Times New Roman"/>
          <w:sz w:val="24"/>
          <w:szCs w:val="24"/>
        </w:rPr>
        <w:t xml:space="preserve"> Q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r w:rsidRPr="00566FE9">
        <w:rPr>
          <w:rFonts w:ascii="Times New Roman" w:hAnsi="Times New Roman"/>
          <w:sz w:val="24"/>
          <w:szCs w:val="24"/>
        </w:rPr>
        <w:t xml:space="preserve"> * </w:t>
      </w:r>
      <w:r w:rsidRPr="00566FE9">
        <w:rPr>
          <w:rFonts w:ascii="Cambria Math" w:eastAsia="Times New Roman" w:hAnsi="Cambria Math" w:cs="Times New Roman"/>
          <w:iCs/>
          <w:color w:val="000000"/>
          <w:sz w:val="24"/>
          <w:szCs w:val="24"/>
          <w:lang w:eastAsia="ru-RU"/>
        </w:rPr>
        <w:t>S</w:t>
      </w:r>
      <w:r w:rsidRPr="00566FE9">
        <w:rPr>
          <w:rFonts w:ascii="Cambria Math" w:eastAsia="Times New Roman" w:hAnsi="Cambria Math" w:cs="Times New Roman"/>
          <w:iCs/>
          <w:color w:val="000000"/>
          <w:sz w:val="24"/>
          <w:szCs w:val="24"/>
          <w:vertAlign w:val="subscript"/>
          <w:lang w:val="sv-FI" w:eastAsia="ru-RU"/>
        </w:rPr>
        <w:t>j</w:t>
      </w:r>
      <w:r w:rsidRPr="00566FE9">
        <w:rPr>
          <w:rFonts w:ascii="Cambria Math" w:eastAsia="Times New Roman" w:hAnsi="Cambria Math" w:cs="Times New Roman"/>
          <w:iCs/>
          <w:color w:val="000000"/>
          <w:sz w:val="24"/>
          <w:szCs w:val="24"/>
          <w:vertAlign w:val="subscript"/>
          <w:lang w:eastAsia="ru-RU"/>
        </w:rPr>
        <w:t>t</w:t>
      </w:r>
      <w:r w:rsidRPr="00566FE9">
        <w:rPr>
          <w:rFonts w:ascii="Times New Roman" w:hAnsi="Times New Roman"/>
          <w:iCs/>
          <w:sz w:val="24"/>
          <w:szCs w:val="24"/>
        </w:rPr>
        <w:t xml:space="preserve"> </w:t>
      </w:r>
      <w:r w:rsidRPr="00566FE9">
        <w:rPr>
          <w:rFonts w:ascii="Times New Roman" w:hAnsi="Times New Roman"/>
          <w:sz w:val="24"/>
          <w:szCs w:val="24"/>
        </w:rPr>
        <w:t>* MAX (0; R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r w:rsidRPr="00566FE9">
        <w:rPr>
          <w:rFonts w:ascii="Times New Roman" w:hAnsi="Times New Roman"/>
          <w:sz w:val="24"/>
          <w:szCs w:val="24"/>
        </w:rPr>
        <w:t xml:space="preserve"> - ПСВ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r w:rsidRPr="00566FE9">
        <w:rPr>
          <w:rFonts w:ascii="Times New Roman" w:hAnsi="Times New Roman"/>
          <w:sz w:val="24"/>
          <w:szCs w:val="24"/>
        </w:rPr>
        <w:t>) / 12,</w:t>
      </w:r>
    </w:p>
    <w:p w14:paraId="098BD0CC" w14:textId="77777777" w:rsidR="00626CA5" w:rsidRPr="00566FE9" w:rsidRDefault="00626CA5" w:rsidP="00626C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D5D12A" w14:textId="77777777" w:rsidR="00626CA5" w:rsidRPr="00566FE9" w:rsidRDefault="00626CA5" w:rsidP="00626C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где:</w:t>
      </w:r>
    </w:p>
    <w:p w14:paraId="4CC614CB" w14:textId="77777777" w:rsidR="00626CA5" w:rsidRPr="00566FE9" w:rsidRDefault="00626CA5" w:rsidP="00626C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ПВ2 – повышенный взнос по основанию, установленному пунктом 5-1 Правил;</w:t>
      </w:r>
    </w:p>
    <w:p w14:paraId="66189619" w14:textId="77777777" w:rsidR="00626CA5" w:rsidRPr="00566FE9" w:rsidRDefault="00626CA5" w:rsidP="00626C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k – коэффициент, определяющий размер повышенного взноса;</w:t>
      </w:r>
    </w:p>
    <w:p w14:paraId="58431B91" w14:textId="77777777" w:rsidR="00626CA5" w:rsidRPr="00566FE9" w:rsidRDefault="00626CA5" w:rsidP="00626C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Q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r w:rsidRPr="00566FE9">
        <w:rPr>
          <w:rFonts w:ascii="Times New Roman" w:hAnsi="Times New Roman"/>
          <w:sz w:val="24"/>
          <w:szCs w:val="24"/>
        </w:rPr>
        <w:t xml:space="preserve"> – объем привлечения банком-участником вкладов j, не соответствующих условиям срочности, в отчетном периоде t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срока удержания</w:t>
      </w:r>
      <w:r w:rsidRPr="00566FE9">
        <w:rPr>
          <w:rFonts w:ascii="Times New Roman" w:hAnsi="Times New Roman"/>
          <w:sz w:val="24"/>
          <w:szCs w:val="24"/>
        </w:rPr>
        <w:t>;</w:t>
      </w:r>
    </w:p>
    <w:p w14:paraId="21856564" w14:textId="77777777" w:rsidR="00626CA5" w:rsidRPr="00566FE9" w:rsidRDefault="00626CA5" w:rsidP="00626CA5">
      <w:pPr>
        <w:tabs>
          <w:tab w:val="left" w:pos="541"/>
        </w:tabs>
        <w:spacing w:after="0" w:line="240" w:lineRule="auto"/>
        <w:ind w:firstLine="744"/>
        <w:jc w:val="both"/>
        <w:rPr>
          <w:rFonts w:ascii="Cambria Math" w:eastAsia="Times New Roman" w:hAnsi="Cambria Math" w:cs="Times New Roman"/>
          <w:i/>
          <w:color w:val="000000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S</w:t>
      </w:r>
      <w:r w:rsidRPr="00566FE9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bscript"/>
          <w:lang w:val="sv-FI" w:eastAsia="ru-RU"/>
        </w:rPr>
        <w:t>j</w:t>
      </w:r>
      <w:r w:rsidRPr="00566FE9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bscript"/>
          <w:lang w:eastAsia="ru-RU"/>
        </w:rPr>
        <w:t>t</w:t>
      </w:r>
      <w:r w:rsidRPr="00566F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– срок удержания вкладов j банком-участником на конец отчетного месяца </w:t>
      </w:r>
      <w:r w:rsidRPr="00566FE9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t</w:t>
      </w:r>
      <w:r w:rsidRPr="00566F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определяемый как минимальное значение между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фиксированным и расчётным сроками удержания вкладов, не соответствующих условиям срочности, в порядке, определенном Приложением 1 к Правилам;</w:t>
      </w:r>
    </w:p>
    <w:p w14:paraId="158F6D65" w14:textId="77777777" w:rsidR="00626CA5" w:rsidRPr="00566FE9" w:rsidRDefault="00626CA5" w:rsidP="00626C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lastRenderedPageBreak/>
        <w:t>R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r w:rsidRPr="00566FE9">
        <w:rPr>
          <w:rFonts w:ascii="Times New Roman" w:hAnsi="Times New Roman"/>
          <w:sz w:val="24"/>
          <w:szCs w:val="24"/>
        </w:rPr>
        <w:t xml:space="preserve"> – средневзвешенная ставка вознаграждения банка-участника по привлеченным вкладам j, не соответствующим условиям срочности, в отчетном периоде t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срока удержания</w:t>
      </w:r>
      <w:r w:rsidRPr="00566FE9">
        <w:rPr>
          <w:rFonts w:ascii="Times New Roman" w:hAnsi="Times New Roman"/>
          <w:sz w:val="24"/>
          <w:szCs w:val="24"/>
        </w:rPr>
        <w:t>;</w:t>
      </w:r>
    </w:p>
    <w:p w14:paraId="3A647AC8" w14:textId="77777777" w:rsidR="00626CA5" w:rsidRPr="00566FE9" w:rsidRDefault="00626CA5" w:rsidP="00626C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ПСВ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r w:rsidRPr="00566FE9">
        <w:rPr>
          <w:rFonts w:ascii="Times New Roman" w:hAnsi="Times New Roman"/>
          <w:sz w:val="24"/>
          <w:szCs w:val="24"/>
        </w:rPr>
        <w:t xml:space="preserve"> – предельная ставка вознаграждения, которая рассчитывается в соответствии с Методикой, как рыночная средневзвешенная ставка по группе вкладов j, не соответствующих условиям срочности, привлеченных в отчетном периоде t, с учетом сроком удержания, увеличенная на размер спреда;</w:t>
      </w:r>
    </w:p>
    <w:p w14:paraId="3BC7223F" w14:textId="77777777" w:rsidR="00626CA5" w:rsidRPr="00566FE9" w:rsidRDefault="00626CA5" w:rsidP="00626C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MAX – оператор наибольшего значения, который приравнивает повышенный взнос ПВ2 нулю, если ставка банка-участника R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r w:rsidRPr="00566FE9">
        <w:rPr>
          <w:rFonts w:ascii="Times New Roman" w:hAnsi="Times New Roman"/>
          <w:sz w:val="24"/>
          <w:szCs w:val="24"/>
        </w:rPr>
        <w:t xml:space="preserve"> не превышает предельную ставку вознаграждения ПСВ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r w:rsidRPr="00566FE9">
        <w:rPr>
          <w:rFonts w:ascii="Times New Roman" w:hAnsi="Times New Roman"/>
          <w:sz w:val="24"/>
          <w:szCs w:val="24"/>
        </w:rPr>
        <w:t>;</w:t>
      </w:r>
    </w:p>
    <w:p w14:paraId="6179B1B0" w14:textId="77777777" w:rsidR="00626CA5" w:rsidRPr="00566FE9" w:rsidRDefault="00626CA5" w:rsidP="00626C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j – группа вкладов, не соответствующих условиям срочности, согласно Методике;</w:t>
      </w:r>
    </w:p>
    <w:p w14:paraId="0ACA2BD2" w14:textId="14A28EDF" w:rsidR="00626CA5" w:rsidRPr="00566FE9" w:rsidRDefault="00626CA5" w:rsidP="00626C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t – отчетный месяц.</w:t>
      </w:r>
    </w:p>
    <w:p w14:paraId="0972A4F2" w14:textId="77777777" w:rsidR="00625921" w:rsidRPr="00566FE9" w:rsidRDefault="00625921" w:rsidP="006259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Значение коэффициента k, определяющего размер повышенного взноса, устанавливается в коридоре от 0,2 до 1,0 на бессрочный период и утверждается приказом Председателя Фонда либо лица, его замещающего (при наличии приказа о возложении обязанностей) на основании рекомендаций коллегиального органа Фонда, уполномоченного вырабатывать рекомендации по ставкам вознаграждения на депозитном рынке. При необходимости значение коэффициента k может быть пересмотрено, в том числе по рекомендации Консультативного Совета Фонда.</w:t>
      </w:r>
    </w:p>
    <w:p w14:paraId="0E2E8061" w14:textId="6E804C77" w:rsidR="00625921" w:rsidRPr="00566FE9" w:rsidRDefault="00625921" w:rsidP="006259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Для расчета повышенного взноса</w:t>
      </w:r>
      <w:bookmarkStart w:id="6" w:name="_Hlk185437195"/>
      <w:r w:rsidR="00F42E1B" w:rsidRPr="00566FE9">
        <w:rPr>
          <w:rFonts w:ascii="Times New Roman" w:hAnsi="Times New Roman"/>
          <w:sz w:val="24"/>
          <w:szCs w:val="24"/>
        </w:rPr>
        <w:t xml:space="preserve"> по</w:t>
      </w:r>
      <w:r w:rsidRPr="00566FE9">
        <w:rPr>
          <w:rFonts w:ascii="Times New Roman" w:hAnsi="Times New Roman"/>
          <w:sz w:val="24"/>
          <w:szCs w:val="24"/>
        </w:rPr>
        <w:t xml:space="preserve"> </w:t>
      </w:r>
      <w:r w:rsidR="00F42E1B" w:rsidRPr="00566FE9">
        <w:rPr>
          <w:rFonts w:ascii="Times New Roman" w:hAnsi="Times New Roman"/>
          <w:sz w:val="24"/>
          <w:szCs w:val="24"/>
        </w:rPr>
        <w:t xml:space="preserve">основанию, установленному </w:t>
      </w:r>
      <w:r w:rsidR="005525B9" w:rsidRPr="00566FE9">
        <w:rPr>
          <w:rFonts w:ascii="Times New Roman" w:hAnsi="Times New Roman"/>
          <w:sz w:val="24"/>
          <w:szCs w:val="24"/>
        </w:rPr>
        <w:t>пунктом</w:t>
      </w:r>
      <w:r w:rsidR="00F42E1B" w:rsidRPr="00566FE9">
        <w:rPr>
          <w:rFonts w:ascii="Times New Roman" w:hAnsi="Times New Roman"/>
          <w:sz w:val="24"/>
          <w:szCs w:val="24"/>
        </w:rPr>
        <w:t xml:space="preserve"> 5</w:t>
      </w:r>
      <w:r w:rsidR="005525B9" w:rsidRPr="00566FE9">
        <w:rPr>
          <w:rFonts w:ascii="Times New Roman" w:hAnsi="Times New Roman"/>
          <w:sz w:val="24"/>
          <w:szCs w:val="24"/>
        </w:rPr>
        <w:t>-1</w:t>
      </w:r>
      <w:r w:rsidR="00F42E1B" w:rsidRPr="00566FE9">
        <w:rPr>
          <w:rFonts w:ascii="Times New Roman" w:hAnsi="Times New Roman"/>
          <w:sz w:val="24"/>
          <w:szCs w:val="24"/>
        </w:rPr>
        <w:t xml:space="preserve"> Правил, </w:t>
      </w:r>
      <w:bookmarkEnd w:id="6"/>
      <w:r w:rsidRPr="00566FE9">
        <w:rPr>
          <w:rFonts w:ascii="Times New Roman" w:hAnsi="Times New Roman"/>
          <w:sz w:val="24"/>
          <w:szCs w:val="24"/>
        </w:rPr>
        <w:t xml:space="preserve">используются сведения по средневзвешенным ставкам и объемам привлечения по группам вкладов за отчетный месяц, </w:t>
      </w:r>
      <w:r w:rsidR="00626CA5" w:rsidRPr="00566FE9">
        <w:rPr>
          <w:rFonts w:ascii="Times New Roman" w:hAnsi="Times New Roman"/>
          <w:sz w:val="24"/>
          <w:szCs w:val="24"/>
        </w:rPr>
        <w:t xml:space="preserve">представленные по формам Таблиц 1 и 5 </w:t>
      </w:r>
      <w:r w:rsidRPr="00566FE9">
        <w:rPr>
          <w:rFonts w:ascii="Times New Roman" w:hAnsi="Times New Roman"/>
          <w:sz w:val="24"/>
          <w:szCs w:val="24"/>
        </w:rPr>
        <w:t>отчета INDDEP-1 за отчетный месяц.</w:t>
      </w:r>
    </w:p>
    <w:p w14:paraId="5E297B17" w14:textId="6C82E2AF" w:rsidR="00625921" w:rsidRPr="00566FE9" w:rsidRDefault="00625921" w:rsidP="0062592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Порядок расчета предельных ставок вознаграждения по вкладам с фиксированной процентной ставкой в национальной валюте установлен Методикой.</w:t>
      </w:r>
    </w:p>
    <w:p w14:paraId="27529E5C" w14:textId="188D193B" w:rsidR="004A3B50" w:rsidRPr="00566FE9" w:rsidRDefault="004A3B50" w:rsidP="004A3B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пункт 6 внесено дополнение в соответствии с решением Совета директоров Фонда от 14.02.2025 г. № 2</w:t>
      </w:r>
    </w:p>
    <w:p w14:paraId="30D3345C" w14:textId="1FFA1FAE" w:rsidR="00AD504C" w:rsidRPr="00566FE9" w:rsidRDefault="00AD504C" w:rsidP="00605FB4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установления </w:t>
      </w:r>
      <w:r w:rsidR="005525B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наличия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основания, предусмотренного подпунктом 1) пункта 5 Правил, используются (по отдельности или в совокупности):</w:t>
      </w:r>
    </w:p>
    <w:p w14:paraId="318C6818" w14:textId="77777777" w:rsidR="00AD504C" w:rsidRPr="00566FE9" w:rsidRDefault="00AD504C" w:rsidP="00605FB4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документально подтвержденные данные уполномоченного органа, Национального Банка и клиентов банка-участника;</w:t>
      </w:r>
    </w:p>
    <w:p w14:paraId="72821CCF" w14:textId="403ACC02" w:rsidR="00AD504C" w:rsidRPr="00566FE9" w:rsidRDefault="00AD504C" w:rsidP="00605FB4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размещенная банком-участником на официальном сайте, в мобильном приложении и (или) на страницах в социальных сетях банка-участника.</w:t>
      </w:r>
    </w:p>
    <w:p w14:paraId="0B690452" w14:textId="618E7983" w:rsidR="00C635E2" w:rsidRPr="00566FE9" w:rsidRDefault="004B6C0B" w:rsidP="00C63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Пункт 7 изложен в редакции решения Совета директоров Фонда от 25.08.2023г. № 25; </w:t>
      </w:r>
      <w:r w:rsidR="00C635E2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 редакции решения Совета директоров Фонда от </w:t>
      </w:r>
      <w:r w:rsidR="00F613E4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10</w:t>
      </w:r>
      <w:r w:rsidR="00C635E2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.0</w:t>
      </w:r>
      <w:r w:rsidR="00F613E4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5</w:t>
      </w:r>
      <w:r w:rsidR="00C635E2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.202</w:t>
      </w:r>
      <w:r w:rsidR="00F613E4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4</w:t>
      </w:r>
      <w:r w:rsidR="00C635E2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г. № </w:t>
      </w:r>
      <w:r w:rsidR="00F613E4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11</w:t>
      </w:r>
      <w:r w:rsidR="001C5C0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, в редакции решения Совета директоров Фонда от 14.02.2025 г. № 2</w:t>
      </w:r>
    </w:p>
    <w:p w14:paraId="0BCD81A3" w14:textId="5C1A3ECF" w:rsidR="006E0B8D" w:rsidRPr="00566FE9" w:rsidRDefault="00F613E4" w:rsidP="00F07549">
      <w:pPr>
        <w:pStyle w:val="aa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установления </w:t>
      </w:r>
      <w:r w:rsidR="005525B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наличия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оснований, предусмотренных подпунктами 2)</w:t>
      </w:r>
      <w:r w:rsidR="00F42E1B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3)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 5 </w:t>
      </w:r>
      <w:r w:rsidR="005525B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пунктом 5-1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используются (по отдельности или в совокупности):</w:t>
      </w:r>
    </w:p>
    <w:p w14:paraId="65F310DF" w14:textId="39C67CD6" w:rsidR="006E0B8D" w:rsidRPr="00566FE9" w:rsidRDefault="006E0B8D" w:rsidP="009B72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Подпункт 1) изложен в редакции решени</w:t>
      </w:r>
      <w:r w:rsidR="0061050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29.04.2022г. № 14</w:t>
      </w:r>
      <w:r w:rsidR="00FF37AF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;</w:t>
      </w:r>
      <w:r w:rsidR="007A754C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решения Совета директоров Фонда от 26.12.2023г. № 37</w:t>
      </w:r>
    </w:p>
    <w:p w14:paraId="6D20179B" w14:textId="6207ABC3" w:rsidR="00D2531A" w:rsidRPr="00566FE9" w:rsidRDefault="007A754C" w:rsidP="006E0B8D">
      <w:pPr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за отчетный месяц, представляемые по форме Таблицы 5 </w:t>
      </w:r>
      <w:r w:rsidR="00F42E1B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Таблицы 6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  <w:r w:rsidR="00FA3F4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INDDEP-1 за три месяца, предшествующих первому числу третьего месяца отчетного квартала;</w:t>
      </w:r>
    </w:p>
    <w:p w14:paraId="0B50ACD1" w14:textId="6AD5D29D" w:rsidR="00C635E2" w:rsidRPr="00566FE9" w:rsidRDefault="00C635E2" w:rsidP="00C635E2">
      <w:pPr>
        <w:pStyle w:val="aa"/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документально подтвержденные данные уполномоченного органа, Национального Банка и клиентов банка-участника.</w:t>
      </w:r>
    </w:p>
    <w:p w14:paraId="3E124E7F" w14:textId="43D51372" w:rsidR="00067165" w:rsidRPr="00566FE9" w:rsidRDefault="00067165" w:rsidP="0006716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пункт 7-1 внесены изменения в соответствии с решением Совета директоров Фонда от 25.08.2023г. № 25</w:t>
      </w:r>
      <w:r w:rsidR="001C5C0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, в соответствии с решением Совета директоров Фонда от 14.02.2025 г. № 2</w:t>
      </w:r>
    </w:p>
    <w:p w14:paraId="31DCCA43" w14:textId="53DCDBAD" w:rsidR="00AD504C" w:rsidRPr="00566FE9" w:rsidRDefault="0047668E" w:rsidP="00605FB4">
      <w:pPr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установления </w:t>
      </w:r>
      <w:r w:rsidR="005525B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наличия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основания, предусмотренного подпунктом </w:t>
      </w:r>
      <w:r w:rsidR="005525B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) пункта 5 Правил, используются (по отдельности или в совокупности)</w:t>
      </w:r>
      <w:r w:rsidR="00AD504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C469A1C" w14:textId="324DB0AD" w:rsidR="00372C95" w:rsidRPr="00566FE9" w:rsidRDefault="00372C95" w:rsidP="00372C95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сведения за отчетный месяц, представляемые по форме Таблицы 7 согласно отчету </w:t>
      </w:r>
      <w:r w:rsidRPr="00566F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INDDEP</w:t>
      </w:r>
      <w:r w:rsidR="009D7CD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состоянию на первое число третьего месяца отчетного квартала за предыдущие последовательные три месяца;</w:t>
      </w:r>
    </w:p>
    <w:p w14:paraId="2B92FB51" w14:textId="77777777" w:rsidR="00372C95" w:rsidRPr="00566FE9" w:rsidRDefault="00372C95" w:rsidP="00372C95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документально подтвержденные данные уполномоченного органа, Национального Банка и клиентов банка-участника;</w:t>
      </w:r>
    </w:p>
    <w:p w14:paraId="40C00F6B" w14:textId="77777777" w:rsidR="00372C95" w:rsidRPr="00566FE9" w:rsidRDefault="00372C95" w:rsidP="00372C95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размещенная банком-участником на официальном сайте, в мобильном приложении и (или) на страницах в социальных сетях банка-участника.</w:t>
      </w:r>
    </w:p>
    <w:p w14:paraId="231C502B" w14:textId="35BCD37F" w:rsidR="00372C95" w:rsidRPr="00566FE9" w:rsidRDefault="00372C95" w:rsidP="00372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настоящего пункта не распространяются на жилищный строительный сберегательный банк</w:t>
      </w:r>
      <w:r w:rsidR="00C961A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обладающий статусом национального института развития,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банки-участники, использующие услуги Национального оператора почты по привлечению депозитов физических лиц.</w:t>
      </w:r>
    </w:p>
    <w:p w14:paraId="103C425D" w14:textId="77777777" w:rsidR="00372C95" w:rsidRPr="00566FE9" w:rsidRDefault="00372C95" w:rsidP="00372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выявлении привлечения банком-участником депозитов физических лиц через посредника, такой банк-участник уплачивает повышенные взносы в течение пяти кварталов с момента выявления.</w:t>
      </w:r>
    </w:p>
    <w:p w14:paraId="478882D7" w14:textId="420A150E" w:rsidR="00E25ED4" w:rsidRPr="00566FE9" w:rsidRDefault="00E25ED4" w:rsidP="00887F87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8</w:t>
      </w:r>
      <w:r w:rsidR="00E87C13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изложен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в редакции решения Совета директоров Фонда от 25.08.2023г. № 25</w:t>
      </w:r>
      <w:r w:rsidR="00FF37AF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; внесены изменения </w:t>
      </w:r>
      <w:r w:rsidR="006E40BA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и дополнен</w:t>
      </w:r>
      <w:r w:rsidR="0095770F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ия</w:t>
      </w:r>
      <w:r w:rsidR="006E40BA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FF37AF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соответствии с решением Совета директоров Фонда от 26.12.2023г. № 37</w:t>
      </w:r>
      <w:r w:rsidR="00A85EA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;</w:t>
      </w:r>
      <w:r w:rsidR="001C5C0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3541B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изложен</w:t>
      </w:r>
      <w:r w:rsidR="001C5C0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в соответствии с решением Совета директоров Фонда от 14.02.2025 г. № 2</w:t>
      </w:r>
      <w:r w:rsidR="00A85EA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; внесены изменения в соответствии с решением Совета директоров Фонда от 05.11.2025 г. № 25</w:t>
      </w:r>
    </w:p>
    <w:p w14:paraId="7D2250BA" w14:textId="5FA9057F" w:rsidR="00E25ED4" w:rsidRPr="00566FE9" w:rsidRDefault="00E25ED4" w:rsidP="00E25ED4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взноса за системный риск банка-участника рассчитывается в соответствии с порядком расчета размера взноса за системный риск, предусмотренн</w:t>
      </w:r>
      <w:r w:rsidR="005A32E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м приложением 1 к Правилам, по группам вкладов.</w:t>
      </w:r>
    </w:p>
    <w:p w14:paraId="58303419" w14:textId="6EC19B4F" w:rsidR="00626CA5" w:rsidRPr="00566FE9" w:rsidRDefault="00626CA5" w:rsidP="00626CA5">
      <w:pPr>
        <w:tabs>
          <w:tab w:val="left" w:pos="541"/>
        </w:tabs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расчета банку-участнику взноса за системный риск используются следующие сведения:</w:t>
      </w:r>
    </w:p>
    <w:p w14:paraId="4F12D131" w14:textId="1470138C" w:rsidR="00E25ED4" w:rsidRPr="00566FE9" w:rsidRDefault="00E25ED4" w:rsidP="00E25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566F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A754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представляемы</w:t>
      </w:r>
      <w:r w:rsidR="00A85EA1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6CA5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банками-участниками в Национальный Банк по формам Таблиц 1 и 5</w:t>
      </w:r>
      <w:r w:rsidR="00626CA5" w:rsidRPr="00566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отчету INDDEP</w:t>
      </w:r>
      <w:r w:rsidR="009D7CD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="00067165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месяц;</w:t>
      </w:r>
    </w:p>
    <w:p w14:paraId="3D1420A0" w14:textId="2BB16043" w:rsidR="00E25ED4" w:rsidRPr="00566FE9" w:rsidRDefault="00E25ED4" w:rsidP="00E25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документально подтвержденны</w:t>
      </w:r>
      <w:r w:rsidR="007A754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е данные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уполномоченного органа, Национального Ба</w:t>
      </w:r>
      <w:r w:rsidR="0023544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 и клиентов банка-участника.</w:t>
      </w:r>
    </w:p>
    <w:p w14:paraId="78146360" w14:textId="14204E56" w:rsidR="00E14838" w:rsidRPr="00566FE9" w:rsidRDefault="00E14838" w:rsidP="00E14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 за системный риск не рассчитывается по вкладам, по которым часть вознаграждения субсидируется государством (в рамках системы жилищных строительных сбережений, государственной образовательной накопительной системы) или предусмотрены премии государства.</w:t>
      </w:r>
    </w:p>
    <w:p w14:paraId="366A0033" w14:textId="1F2E6FE8" w:rsidR="001C5C09" w:rsidRPr="00566FE9" w:rsidRDefault="001C5C09" w:rsidP="00E14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66FE9">
        <w:rPr>
          <w:rFonts w:ascii="Times New Roman" w:hAnsi="Times New Roman"/>
          <w:sz w:val="24"/>
          <w:szCs w:val="24"/>
        </w:rPr>
        <w:t>Значение коэффициента b, определяющего размер взноса за системный риск в соответствии с приложением 1 к Правилам, устанавливается в коридоре от 0,2 до 1,0 на бессрочный период и утверждается приказом Председателя Фонда либо лица, его замещающего (при наличии приказа о возложении обязанностей) на основании рекомендаций уполномоченного коллегиального органа Фонда, уполномоченного вырабатывать рекомендации по ставкам вознаграждения на депозитном рынке. При необходимости значение коэффициента b может быть пересмотрено, в том числе по рекомендации Консультативного Совета Фонда.</w:t>
      </w:r>
    </w:p>
    <w:p w14:paraId="179541F4" w14:textId="11487C2E" w:rsidR="00067165" w:rsidRPr="00566FE9" w:rsidRDefault="00067165" w:rsidP="0006716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пункт 9 внесены изменения в соответствии с решением Совета директоров Фонда от 25.08.2023г. № 25</w:t>
      </w:r>
    </w:p>
    <w:p w14:paraId="6C6FEF0E" w14:textId="0A1E4250" w:rsidR="00AD504C" w:rsidRPr="00566FE9" w:rsidRDefault="0047668E" w:rsidP="008741A5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расчете </w:t>
      </w:r>
      <w:r w:rsidR="00372C95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предельной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ставки вознаграждения, а также средневзвешенной ставки банки-участники руководствуются следующей формулой расчета годовой эффективной ставки вознаграждения по вкладу или по совокупности зависимых друг от друга вкладов</w:t>
      </w:r>
      <w:r w:rsidR="00AD504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D32E8EB" w14:textId="77777777" w:rsidR="00AD504C" w:rsidRPr="00566FE9" w:rsidRDefault="00AD504C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1E4A86" w14:textId="77777777" w:rsidR="00AD504C" w:rsidRPr="00566FE9" w:rsidRDefault="00AD504C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A27F80" wp14:editId="160202A8">
            <wp:extent cx="3013710" cy="53276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71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DD7A3" w14:textId="77777777" w:rsidR="00AD504C" w:rsidRPr="00566FE9" w:rsidRDefault="00AD504C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663B4" w14:textId="77777777" w:rsidR="00AD504C" w:rsidRPr="00566FE9" w:rsidRDefault="00AD504C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14:paraId="6E8BC1E9" w14:textId="77777777" w:rsidR="00AD504C" w:rsidRPr="00566FE9" w:rsidRDefault="00AD504C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n - порядковый номер последнего платежа клиента;</w:t>
      </w:r>
    </w:p>
    <w:p w14:paraId="029AF977" w14:textId="77777777" w:rsidR="00AD504C" w:rsidRPr="00566FE9" w:rsidRDefault="00AD504C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j - порядковый номер платежа клиента;</w:t>
      </w:r>
    </w:p>
    <w:p w14:paraId="0E60FA6A" w14:textId="77777777" w:rsidR="00AD504C" w:rsidRPr="00566FE9" w:rsidRDefault="00AD504C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Lj - сумма j-того платежа клиента банку-участнику, в том числе внесение вклада и иные платежи, связанные с внесением вклада и его обслуживанием;</w:t>
      </w:r>
    </w:p>
    <w:p w14:paraId="3973601F" w14:textId="77777777" w:rsidR="00AD504C" w:rsidRPr="00566FE9" w:rsidRDefault="00AD504C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APR - годовая эффективная ставка вознаграждения;</w:t>
      </w:r>
    </w:p>
    <w:p w14:paraId="1A3B44CE" w14:textId="77777777" w:rsidR="00AD504C" w:rsidRPr="00566FE9" w:rsidRDefault="00AD504C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tj - период времени со дня привлечения вклада до момента j-того платежа клиента (в днях);</w:t>
      </w:r>
    </w:p>
    <w:p w14:paraId="6ECB4782" w14:textId="77777777" w:rsidR="00AD504C" w:rsidRPr="00566FE9" w:rsidRDefault="00AD504C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m - порядковый номер последней выплаты клиенту;</w:t>
      </w:r>
    </w:p>
    <w:p w14:paraId="07833AAB" w14:textId="77777777" w:rsidR="00AD504C" w:rsidRPr="00566FE9" w:rsidRDefault="00AD504C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і - порядковый номер выплаты клиенту;</w:t>
      </w:r>
    </w:p>
    <w:p w14:paraId="506E7016" w14:textId="60DA7D28" w:rsidR="00AD504C" w:rsidRPr="00566FE9" w:rsidRDefault="00AD504C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Pi - сумма і-той выплаты/ начисления по вкладу, включающая, в том числе, вознаграждения по вкладу, возврат вкладов, вознаграждения, предусмотренные к выплате депозитору либо по его поручению третьим лицам, по другим договорам или дополнительным соглашениям, связанным с основным вкладом (за исключением денежных выплат за осуществление безналичных платежей и (или) переводов);</w:t>
      </w:r>
    </w:p>
    <w:p w14:paraId="37CEDE26" w14:textId="0E6938FD" w:rsidR="00AD504C" w:rsidRPr="00566FE9" w:rsidRDefault="00AD504C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ti - период времени со дня привлечения вклада до момента і-той выплаты/ начисления (в днях), в том числе, в случае осуществления выплаты/ начисления вознаграждения досрочно.</w:t>
      </w:r>
    </w:p>
    <w:p w14:paraId="162D2FB3" w14:textId="45735A29" w:rsidR="00AD504C" w:rsidRPr="00566FE9" w:rsidRDefault="001C5C09" w:rsidP="0042551D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Исключен в соответствии с решением Совета директоров Фонда от </w:t>
      </w:r>
      <w:r w:rsidRPr="00566FE9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14.02.2025 г. № 2. </w:t>
      </w:r>
    </w:p>
    <w:p w14:paraId="5E8B9BF9" w14:textId="77777777" w:rsidR="00AD504C" w:rsidRPr="00566FE9" w:rsidRDefault="00AD504C" w:rsidP="0071143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 ежеквартально производит расчет значений количественных и качественных индикаторов банков-участников на основании сведений, получаемых от Национального Банка и уполномоченного органа, а также сведений размещенных на официальных интернет-ресурсах международных рейтинговых агентств Standard &amp; Poor’s, Moody´s, Fitch, банков-участников, АО «Казахстанская фондовая биржа» и депозитария финансовой отчетности.</w:t>
      </w:r>
    </w:p>
    <w:p w14:paraId="2CEB9745" w14:textId="77777777" w:rsidR="00AD504C" w:rsidRPr="00566FE9" w:rsidRDefault="00AD504C" w:rsidP="00711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сведений, используемых для расчета значений количественных и качественных индикаторов, приведен в приложении 2 к Правилам.</w:t>
      </w:r>
    </w:p>
    <w:p w14:paraId="6516F68D" w14:textId="77777777" w:rsidR="00AD504C" w:rsidRPr="00566FE9" w:rsidRDefault="00AD504C" w:rsidP="0071143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количественным индикаторам относятся показатели, характеризующие:</w:t>
      </w:r>
    </w:p>
    <w:p w14:paraId="3CFD59D0" w14:textId="77777777" w:rsidR="00AD504C" w:rsidRPr="00566FE9" w:rsidRDefault="00AD504C" w:rsidP="0042551D">
      <w:pPr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адекватность капитала (С-1, С-2, С-3, особый параметр С);</w:t>
      </w:r>
    </w:p>
    <w:p w14:paraId="5E6B4B31" w14:textId="77777777" w:rsidR="00AD504C" w:rsidRPr="00566FE9" w:rsidRDefault="00AD504C" w:rsidP="0042551D">
      <w:pPr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активов (А-1, А-2, А-3, А-4);</w:t>
      </w:r>
    </w:p>
    <w:p w14:paraId="55306D58" w14:textId="77777777" w:rsidR="00AD504C" w:rsidRPr="00566FE9" w:rsidRDefault="00AD504C" w:rsidP="0042551D">
      <w:pPr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доходность (Е-1, Е-2, Е-3, Е-4, Е-5, особый параметр E);</w:t>
      </w:r>
    </w:p>
    <w:p w14:paraId="3DDF9AF1" w14:textId="77777777" w:rsidR="00AD504C" w:rsidRPr="00566FE9" w:rsidRDefault="00AD504C" w:rsidP="0042551D">
      <w:pPr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ликвидность (L-1, L-2, L-3, особый параметр L).</w:t>
      </w:r>
    </w:p>
    <w:p w14:paraId="4647DE73" w14:textId="77777777" w:rsidR="00AD504C" w:rsidRPr="00566FE9" w:rsidRDefault="00AD504C" w:rsidP="0071143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качественным индикаторам относятся показатели, характеризующие:</w:t>
      </w:r>
    </w:p>
    <w:p w14:paraId="4E2DC5E2" w14:textId="77777777" w:rsidR="00AD504C" w:rsidRPr="00566FE9" w:rsidRDefault="00AD504C" w:rsidP="00711432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рейтинга банка-участника, присвоенного уполномоченным органом по итогам SREP – Q-1;</w:t>
      </w:r>
    </w:p>
    <w:p w14:paraId="4D0D3C5A" w14:textId="455E1F1E" w:rsidR="00D71199" w:rsidRPr="00566FE9" w:rsidRDefault="00D71199" w:rsidP="00D7119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Подпункт 2) изложен в редакции решени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</w:t>
      </w:r>
      <w:r w:rsidR="00944003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27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.09.2022г. № </w:t>
      </w:r>
      <w:r w:rsidR="00944003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29</w:t>
      </w:r>
    </w:p>
    <w:p w14:paraId="0FD12CF4" w14:textId="77777777" w:rsidR="00AD504C" w:rsidRPr="00566FE9" w:rsidRDefault="00AD504C" w:rsidP="00711432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присвоенного банку-участнику долгосрочного кредитного рейтинга (Standard&amp;Poor’s, Fitch) или долгосрочного рейтинга по депозитам (Moody’s) или их отсутствие – Q-2;</w:t>
      </w:r>
    </w:p>
    <w:p w14:paraId="66B64177" w14:textId="77777777" w:rsidR="00AD504C" w:rsidRPr="00566FE9" w:rsidRDefault="00AD504C" w:rsidP="00711432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или отсутствие мнения с оговоркой (особых мнений) по годовой аудированной финансовой отчетности – Q-3;</w:t>
      </w:r>
    </w:p>
    <w:p w14:paraId="78FA4E3D" w14:textId="77777777" w:rsidR="00AD504C" w:rsidRPr="00566FE9" w:rsidRDefault="00AD504C" w:rsidP="00711432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полнота раскрытия информации – Q-4.</w:t>
      </w:r>
    </w:p>
    <w:p w14:paraId="35987C76" w14:textId="50658100" w:rsidR="00D71199" w:rsidRPr="00566FE9" w:rsidRDefault="00D71199" w:rsidP="00D7119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14 изложен в редакции решени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</w:t>
      </w:r>
      <w:r w:rsidR="00F9160D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27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.09.2022г. 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  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№ </w:t>
      </w:r>
      <w:r w:rsidR="00F9160D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29</w:t>
      </w:r>
      <w:r w:rsidR="001C5C0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, внесено дополнение в соответствии с решением Совета директоров Фонда от 14.02.2025 г. № 2</w:t>
      </w:r>
    </w:p>
    <w:p w14:paraId="35EB8FE9" w14:textId="502FF545" w:rsidR="00AD504C" w:rsidRPr="00566FE9" w:rsidRDefault="00AD504C" w:rsidP="0071143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расчета количественных индикаторов используются сведения, представляемые Национальным Банком за последний рабочий день месяца, предшествующего отчетному кварталу</w:t>
      </w:r>
      <w:r w:rsidR="00D7119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ежеквартальная отчетность, а также годовая отчетность, </w:t>
      </w:r>
      <w:r w:rsidR="00D7119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которая используется для расчета ставок взносов</w:t>
      </w:r>
      <w:r w:rsidR="00755E26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кредитный риск</w:t>
      </w:r>
      <w:r w:rsidR="00D7119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первый квартал отчетного года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FCBDB4" w14:textId="77777777" w:rsidR="00AD504C" w:rsidRPr="00566FE9" w:rsidRDefault="00AD504C" w:rsidP="0071143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количественных индикаторов рассчитываются по формулам, приведенным в приложении 3 к Правилам.</w:t>
      </w:r>
    </w:p>
    <w:p w14:paraId="030676FD" w14:textId="77777777" w:rsidR="00AD504C" w:rsidRPr="00566FE9" w:rsidRDefault="00AD504C" w:rsidP="0071143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расчета значения любого количественного индикатора банка-участника, за исключением особых параметров С, E, L, полученное значение соотносится с установленным для него пороговым значением, приведенным в приложении 4 к Правилам.</w:t>
      </w:r>
    </w:p>
    <w:p w14:paraId="2A0F7E29" w14:textId="465E743E" w:rsidR="00AD504C" w:rsidRPr="00566FE9" w:rsidRDefault="00AD504C" w:rsidP="00711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порогового значения, к которому было отнесено рассчитанное значение количественного индикатора, банку-участнику присваивается по данному индикатору балл, соответствующий указанному пороговому значению.</w:t>
      </w:r>
    </w:p>
    <w:p w14:paraId="309E381B" w14:textId="533AF4C8" w:rsidR="00E72B38" w:rsidRPr="00566FE9" w:rsidRDefault="00E72B38" w:rsidP="00711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17 изложен в редакции решения Совета директоров Фонда от 14.02.2025 г. № 2</w:t>
      </w:r>
    </w:p>
    <w:p w14:paraId="2F67B1DB" w14:textId="77777777" w:rsidR="00AD504C" w:rsidRPr="00566FE9" w:rsidRDefault="00AD504C" w:rsidP="0071143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расчета качественного индикатора Q-1 используются сведения, представляемые уполномоченным органом. Данные сведения используются для расчета качественного индикатора Q-1 в течение последующих четырех кварталов с момента их предоставления. </w:t>
      </w:r>
    </w:p>
    <w:p w14:paraId="602D0C17" w14:textId="77777777" w:rsidR="00887F87" w:rsidRPr="00566FE9" w:rsidRDefault="00AD504C" w:rsidP="00E85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Качественному индикатору Q-1 определяется балл в зависимости от присвоенного банку-участнику рейтинга уполномоченным органом согласно приложению 5 к Правилам. </w:t>
      </w:r>
    </w:p>
    <w:p w14:paraId="165CB0E3" w14:textId="77777777" w:rsidR="00887F87" w:rsidRPr="00566FE9" w:rsidRDefault="00AD504C" w:rsidP="00E85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обновления сведений уполномоченным органом по истечении четырех кварталов с момента последнего предоставления сведений</w:t>
      </w:r>
      <w:r w:rsidR="00E85786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значения индикатора Q-1 сохраняются на уровне значений, рассчитанных в предыдущем квартале. </w:t>
      </w:r>
    </w:p>
    <w:p w14:paraId="35EF453B" w14:textId="3B35B48F" w:rsidR="00E85786" w:rsidRPr="00566FE9" w:rsidRDefault="00E85786" w:rsidP="00E85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получения актуальных сведений от уполномоченного органа индикатор Q-1 подлежит последующему перерасчету. </w:t>
      </w:r>
    </w:p>
    <w:p w14:paraId="6BA1C82A" w14:textId="02082B16" w:rsidR="00A363C4" w:rsidRPr="00566FE9" w:rsidRDefault="00F9160D" w:rsidP="007114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Часть первая пункта 18 изложена в редакции решени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27.09.2022г. № 29</w:t>
      </w:r>
      <w:r w:rsidR="00C20C4D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; ч</w:t>
      </w:r>
      <w:r w:rsidR="00A363C4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асть третья изложена в редакции решени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="00A363C4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29.04.2022г. № 14</w:t>
      </w:r>
    </w:p>
    <w:p w14:paraId="3888DB1C" w14:textId="77777777" w:rsidR="00AD504C" w:rsidRPr="00566FE9" w:rsidRDefault="00AD504C" w:rsidP="0071143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расчета качественного индикатора Q-2 используются сведения международных рейтинговых агентств о долгосрочном кредитном рейтинге (Standard&amp;Poor’s, Fitch) или о долгосрочном рейтинге по депозитам (Moody’s) банка-участника, размещенные на официальных интернет-ресурсах международных рейтинговых агентств Standard&amp;Poor’s, Moody´s, Fitch по состоянию на первое число третьего месяца отчётного квартала.</w:t>
      </w:r>
    </w:p>
    <w:p w14:paraId="754A91B8" w14:textId="77777777" w:rsidR="00AD504C" w:rsidRPr="00566FE9" w:rsidRDefault="00AD504C" w:rsidP="00711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Качественному индикатору Q-2 определяется балл в зависимости от присвоенного банку-участнику рейтинга международными рейтинговыми агентствами согласно приложению 5 к Правилам. В случае присвоения банку-участнику рейтингов более чем одним международным рейтинговым агентством, для определения баллов по качественному индикатору Q-2 используется рейтинг согласно одному из следующих принципов:</w:t>
      </w:r>
    </w:p>
    <w:p w14:paraId="48C523CC" w14:textId="7F75C235" w:rsidR="00AD504C" w:rsidRPr="00566FE9" w:rsidRDefault="00AD504C" w:rsidP="00711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рейтинга, при этом, если они неравнозначные – используется самый низкий рейтинг;</w:t>
      </w:r>
    </w:p>
    <w:p w14:paraId="4DFB2EF0" w14:textId="4E4663CD" w:rsidR="00AD504C" w:rsidRPr="00566FE9" w:rsidRDefault="00AD504C" w:rsidP="00711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рейтинга, при этом два из них равнозначные – используется равнозначный рейтинг;</w:t>
      </w:r>
    </w:p>
    <w:p w14:paraId="38448142" w14:textId="3B41303E" w:rsidR="00AD504C" w:rsidRPr="00566FE9" w:rsidRDefault="00AD504C" w:rsidP="00711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рейтинга, при этом, если они неравнозначные – используется самый низкий рейтинг.</w:t>
      </w:r>
    </w:p>
    <w:p w14:paraId="371F932C" w14:textId="77777777" w:rsidR="00AD504C" w:rsidRPr="00566FE9" w:rsidRDefault="00433B47" w:rsidP="00711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расчета качественного индикатора Q-2 дочернего банка используется его самостоятельный рейтинг, а в случае его отсутствия - рейтинг родительской организации.</w:t>
      </w:r>
    </w:p>
    <w:p w14:paraId="515DE2CA" w14:textId="74208341" w:rsidR="00D71199" w:rsidRPr="00566FE9" w:rsidRDefault="00D71199" w:rsidP="00D7119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Часть первая пункта 19 изложена в редакции решени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</w:t>
      </w:r>
      <w:r w:rsidR="00F9160D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27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.09.2022г. № </w:t>
      </w:r>
      <w:r w:rsidR="00F9160D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29</w:t>
      </w:r>
    </w:p>
    <w:p w14:paraId="19D23720" w14:textId="77777777" w:rsidR="00AD504C" w:rsidRPr="00566FE9" w:rsidRDefault="00AD504C" w:rsidP="0071143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расчета качественного индикатора Q-3 используется заключение независимых аудиторов к </w:t>
      </w:r>
      <w:r w:rsidR="00D71199" w:rsidRPr="00566FE9">
        <w:rPr>
          <w:rFonts w:ascii="Times New Roman" w:hAnsi="Times New Roman"/>
          <w:sz w:val="24"/>
          <w:szCs w:val="24"/>
        </w:rPr>
        <w:t>ежеквартальной (при наличии аудированного ежеквартального отчета) и (или) годовой</w:t>
      </w:r>
      <w:r w:rsidR="00D7119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финансовой отчетности банка-участника. </w:t>
      </w:r>
    </w:p>
    <w:p w14:paraId="30999500" w14:textId="77777777" w:rsidR="00AD504C" w:rsidRPr="00566FE9" w:rsidRDefault="00AD504C" w:rsidP="00711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наличия оговорок и (или) особых мнений в аудиторском заключении к финансовой отчетности, баллы, набранные в соответствующих количественных индикаторах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согласно приложению 4 к Правилам, отличные от нуля, в зависимости от объекта оговорки/особого мнения, присваиваются качественному индикатору Q-3 с отрицательным знаком.</w:t>
      </w:r>
    </w:p>
    <w:p w14:paraId="0EF5FAB1" w14:textId="77777777" w:rsidR="00AD504C" w:rsidRPr="00566FE9" w:rsidRDefault="00AD504C" w:rsidP="00711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четкого определения объекта оговорки или особого мнения в рамках количественных индикаторов, отказа от выражения мнения, а также выражения аудиторами банка-участника мнения о неопределенности в отношении непрерывности деятельности присваивается балл согласно приложению 5 к Правилам.</w:t>
      </w:r>
    </w:p>
    <w:p w14:paraId="0D9F1C0A" w14:textId="77777777" w:rsidR="00AD504C" w:rsidRPr="00566FE9" w:rsidRDefault="00AD504C" w:rsidP="00711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Баллы, полученные согласно перечисленным условиям, суммируются при их одновременном выполнении, образуя итоговый балл по качественному индикатору Q-3. </w:t>
      </w:r>
    </w:p>
    <w:p w14:paraId="2C0366E7" w14:textId="77777777" w:rsidR="00AD504C" w:rsidRPr="00566FE9" w:rsidRDefault="00AD504C" w:rsidP="00711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сглаживания искажающего влияния фиксированного значения, полученного из годовой аудированной финансовой отчетности и используемого на протяжении следующих четырех кварталов, ежеквартально применяется уменьшение веса показателя Q-3 на 25%, начиная со второго квартала и до получения новых данных согласно приложению 5 к Правилам. </w:t>
      </w:r>
    </w:p>
    <w:p w14:paraId="198F7966" w14:textId="77777777" w:rsidR="00AD504C" w:rsidRPr="00566FE9" w:rsidRDefault="00AD504C" w:rsidP="0071143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расчета качественного индикатора Q-4 используется оценка одновременного выполнения трех условий согласно приложению 5 к Правилам. При выполнении банком-участником всех условий присваивается значение равное 6 баллам, а в случае невыполнения хотя бы одного из них присваивается значение равное 0.</w:t>
      </w:r>
    </w:p>
    <w:p w14:paraId="3030EA7D" w14:textId="77777777" w:rsidR="00AD504C" w:rsidRPr="00566FE9" w:rsidRDefault="00AD504C" w:rsidP="0071143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расчета баллов по всем количественным и качественным индикаторам рассчитывается общий балл банка-участника, который определяется как сумма всех присвоенных баллов.</w:t>
      </w:r>
    </w:p>
    <w:p w14:paraId="5FA08C3C" w14:textId="2F2C1C07" w:rsidR="00AD504C" w:rsidRPr="00566FE9" w:rsidRDefault="00AD504C" w:rsidP="0071143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расчета общих баллов рассчитывается общий накопительный балл банка-участника, который определяется как сумма произведений общих баллов банка-участника за последние три квартала, включая отчетный, на вес квартала, приведенный в приложении 6 к Правилам.</w:t>
      </w:r>
    </w:p>
    <w:p w14:paraId="4A3C0259" w14:textId="214BEE33" w:rsidR="00E72B38" w:rsidRPr="00566FE9" w:rsidRDefault="00E72B38" w:rsidP="00E72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пункт 23 внесено дополнение в соответствии с решением Совета директоров Фонда от 14.02.2025 г. № 2</w:t>
      </w:r>
    </w:p>
    <w:p w14:paraId="623E2DC9" w14:textId="6062D506" w:rsidR="00E72B38" w:rsidRPr="00566FE9" w:rsidRDefault="00AD504C" w:rsidP="00E72B38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расчета общего накопительного балла определяется классификационная группа и соответствующая ей ставка взноса </w:t>
      </w:r>
      <w:r w:rsidR="00E85786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кредитный риск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банка-участника в соответствии с приложением 7 к Правилам. </w:t>
      </w:r>
    </w:p>
    <w:p w14:paraId="63512376" w14:textId="131B1483" w:rsidR="00E72B38" w:rsidRPr="00566FE9" w:rsidRDefault="00E72B38" w:rsidP="000D2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пункт 24 внесены изменения в соответствии с решением Совета директоров Фонда от 14.02.2025 г. № 2</w:t>
      </w:r>
    </w:p>
    <w:p w14:paraId="40E6C032" w14:textId="76D27E4C" w:rsidR="00AD504C" w:rsidRPr="00566FE9" w:rsidRDefault="00AD504C" w:rsidP="0071143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банка-участника, находящегося в процессе добровольной реорганизации в форме присоединения к другому банку-участнику, в случае если обязательства такого банка-участника перед депозиторами полностью переданы другому банку-участнику, предусмотренные в приложении 2 к Правилам, не учитываются Фондом, в расчете ставки взноса</w:t>
      </w:r>
      <w:r w:rsidR="00E85786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кредитный риск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F68220A" w14:textId="0534E523" w:rsidR="00AD504C" w:rsidRPr="00566FE9" w:rsidRDefault="00AD504C" w:rsidP="0071143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подтверждения факта передачи банком-участником активов и обязательств другому банку-участнику, такому банку необходимо представить в Фонд, копию передаточного акта, заверенную печатью банка-участника, в течение 3 (трех) рабочих дней с даты подписания передаточного акта.</w:t>
      </w:r>
    </w:p>
    <w:p w14:paraId="19A7DA45" w14:textId="0B0D1122" w:rsidR="000D2E8E" w:rsidRPr="00566FE9" w:rsidRDefault="000D2E8E" w:rsidP="000D2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пункт 26 внесены дополнения в соответствии с решением Совета директоров Фонда от 14.02.2025 г. № 2</w:t>
      </w:r>
      <w:r w:rsidR="007916F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внесены изменения </w:t>
      </w:r>
      <w:r w:rsidR="007916FC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 соответствии с решением Совета директоров Фонда от </w:t>
      </w:r>
      <w:r w:rsidR="007916FC">
        <w:rPr>
          <w:rFonts w:ascii="Times New Roman" w:hAnsi="Times New Roman" w:cs="Times New Roman"/>
          <w:i/>
          <w:color w:val="FF0000"/>
          <w:sz w:val="24"/>
          <w:szCs w:val="24"/>
        </w:rPr>
        <w:t>31</w:t>
      </w:r>
      <w:r w:rsidR="007916FC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.0</w:t>
      </w:r>
      <w:r w:rsidR="007916FC">
        <w:rPr>
          <w:rFonts w:ascii="Times New Roman" w:hAnsi="Times New Roman" w:cs="Times New Roman"/>
          <w:i/>
          <w:color w:val="FF0000"/>
          <w:sz w:val="24"/>
          <w:szCs w:val="24"/>
        </w:rPr>
        <w:t>3</w:t>
      </w:r>
      <w:r w:rsidR="007916FC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.202</w:t>
      </w:r>
      <w:r w:rsidR="007916FC">
        <w:rPr>
          <w:rFonts w:ascii="Times New Roman" w:hAnsi="Times New Roman" w:cs="Times New Roman"/>
          <w:i/>
          <w:color w:val="FF0000"/>
          <w:sz w:val="24"/>
          <w:szCs w:val="24"/>
        </w:rPr>
        <w:t>6</w:t>
      </w:r>
      <w:r w:rsidR="007916FC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г. № </w:t>
      </w:r>
      <w:r w:rsidR="007916FC">
        <w:rPr>
          <w:rFonts w:ascii="Times New Roman" w:hAnsi="Times New Roman" w:cs="Times New Roman"/>
          <w:i/>
          <w:color w:val="FF0000"/>
          <w:sz w:val="24"/>
          <w:szCs w:val="24"/>
        </w:rPr>
        <w:t>7</w:t>
      </w:r>
    </w:p>
    <w:p w14:paraId="08EEDEB6" w14:textId="5F16A9CA" w:rsidR="00AD504C" w:rsidRPr="00566FE9" w:rsidRDefault="00AD504C" w:rsidP="0071143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r w:rsidR="007442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</w:t>
      </w:r>
      <w:r w:rsidR="00744207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уполномоченным органом</w:t>
      </w:r>
      <w:r w:rsidR="00744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420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приостановлени</w:t>
      </w:r>
      <w:r w:rsidR="0074420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</w:t>
      </w:r>
      <w:r w:rsidR="00744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банковской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лицензии на прием депозитов, открытие и ведение банковских счетов физических лиц или </w:t>
      </w:r>
      <w:r w:rsidR="00744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банковской лицензии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7442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</w:t>
      </w:r>
      <w:r w:rsidR="00744207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</w:t>
      </w:r>
      <w:r w:rsidR="0074420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</w:t>
      </w:r>
      <w:r w:rsidR="00744207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операций, такой банк-участник переводится в классификационную группу E на период приостановления действия лицензии.</w:t>
      </w:r>
    </w:p>
    <w:p w14:paraId="0735742F" w14:textId="77777777" w:rsidR="00AF5FD3" w:rsidRPr="00AF5FD3" w:rsidRDefault="00AF5FD3" w:rsidP="00AF5F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отнесения уполномоченным органом банка-участника к категории банков, филиалов банков-нерезидентов Республики Казахстан с неустойчивым финансовым положением, создающим угрозу интересам его депозиторов и кредиторов и (или) угрозу стабильности финансовой системы, такой банк-участник переводится в классификационную группу D на период его отнесения к данной категории.</w:t>
      </w:r>
    </w:p>
    <w:p w14:paraId="28B6DD15" w14:textId="77777777" w:rsidR="00AF5FD3" w:rsidRPr="00AF5FD3" w:rsidRDefault="00AF5FD3" w:rsidP="00AF5F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отнесения уполномоченным органом банка-участника к категории неплатежеспособных банков, филиалов банков-нерезидентов Республики Казахстан, такой банк-участник переводится в классификационную группу E на период его отнесения к данной категории.</w:t>
      </w:r>
    </w:p>
    <w:p w14:paraId="6831F18D" w14:textId="77777777" w:rsidR="00AF5FD3" w:rsidRDefault="00AF5FD3" w:rsidP="00AF5F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D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настоящего пункта не распространяется на банки-участники, находящиеся в классификационных группах, по которым определена более высокая ставка взноса за кредитный риск, чем ставка взноса за кредитный риск, определенная по классификационным группам, указанным в настоящем пункте.</w:t>
      </w:r>
    </w:p>
    <w:p w14:paraId="0FC816B7" w14:textId="28CD5490" w:rsidR="000D2E8E" w:rsidRPr="00566FE9" w:rsidRDefault="000D2E8E" w:rsidP="00AF5F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пункт 27 внесены изменения в соответствии с решением Совета директоров Фонда от 14.02.2025 г. № 2</w:t>
      </w:r>
    </w:p>
    <w:p w14:paraId="698FEF64" w14:textId="044410A4" w:rsidR="00AD504C" w:rsidRPr="00566FE9" w:rsidRDefault="00AD504C" w:rsidP="00711432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Банк, филиал банка-нерезидента Республики Казахстан, вновь вступивший в систему обязательного гарантирования депозитов, за исключением случаев, указанных в пунктах 26 и 28 Правил, в течение первых двух лет участия автоматически относится к классификационной группе D, и уплачивает взносы</w:t>
      </w:r>
      <w:r w:rsidR="00FF4856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кредитный риск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ставке, соответствующей данной группе. Срок истечения двухлетнего периода в отчётном квартале определяется относительно срока, указанного в пункте 30 Правил. В случае если двухлетний период завершается к сроку, указанному в пункте 30 Правил, то ставка взноса</w:t>
      </w:r>
      <w:r w:rsidR="00FF4856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кредитный риск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указанных в настоящем пункте банков-участников определяется в соответствии с общим порядком, определённым Правилами.</w:t>
      </w:r>
    </w:p>
    <w:p w14:paraId="3EC9BE09" w14:textId="71EA261C" w:rsidR="00804725" w:rsidRPr="00566FE9" w:rsidRDefault="00804725" w:rsidP="008047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 пункт 28 </w:t>
      </w:r>
      <w:r w:rsidR="00A0166C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внесены изменения 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соответствии с решением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25.08.2023г. № 25</w:t>
      </w:r>
    </w:p>
    <w:p w14:paraId="51DFC50A" w14:textId="735C5B42" w:rsidR="00AD504C" w:rsidRPr="00566FE9" w:rsidRDefault="00AD504C" w:rsidP="00711432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классификационной группе D со сроком пребывания в ней два года </w:t>
      </w:r>
      <w:r w:rsidR="00804725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отчетного квартала, в котором банк вступил в систему обязательного гарантирования депозитов,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 банки-участники, созданные в результате реорганизации путем:</w:t>
      </w:r>
    </w:p>
    <w:p w14:paraId="1096F830" w14:textId="77777777" w:rsidR="00AD504C" w:rsidRPr="00566FE9" w:rsidRDefault="00AD504C" w:rsidP="00711432">
      <w:pPr>
        <w:pStyle w:val="aa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слияния банков-участников, отнесенных на момент слияния к классификационным группам A, B, C и/или D, а также их слияния с банком-участником, отнесенного на момент слияния к классификационной группе E; </w:t>
      </w:r>
    </w:p>
    <w:p w14:paraId="0ABBFDF7" w14:textId="77777777" w:rsidR="00AD504C" w:rsidRPr="00566FE9" w:rsidRDefault="00AD504C" w:rsidP="00711432">
      <w:pPr>
        <w:pStyle w:val="aa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разделения банка-участника, отнесенного на момент разделения к классификационной группе А, В, С или D;</w:t>
      </w:r>
    </w:p>
    <w:p w14:paraId="690AACDE" w14:textId="77777777" w:rsidR="00AD504C" w:rsidRPr="00566FE9" w:rsidRDefault="00AD504C" w:rsidP="00711432">
      <w:pPr>
        <w:pStyle w:val="aa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выделения из другого банка-участника, отнесенного на момент реорганизации к классификационной группе А, В, С или D.</w:t>
      </w:r>
    </w:p>
    <w:p w14:paraId="5996AD12" w14:textId="58E65A8D" w:rsidR="00AD504C" w:rsidRPr="00566FE9" w:rsidRDefault="00AD504C" w:rsidP="00711432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решению Совета директоров Фонда устанавливается отнесение к классификационной группе D или Е и срок пребывания в ней для вновь вступивших в систему </w:t>
      </w:r>
      <w:r w:rsidR="00D65ABD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обязательного гарантирования депозитов банков,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созданных в результате реорганизации путем:</w:t>
      </w:r>
    </w:p>
    <w:p w14:paraId="047A5F03" w14:textId="77777777" w:rsidR="00AD504C" w:rsidRPr="00566FE9" w:rsidRDefault="00AD504C" w:rsidP="00711432">
      <w:pPr>
        <w:pStyle w:val="aa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слияния банков-участников, отнесенных на момент слияния к классификационной группе Е;</w:t>
      </w:r>
    </w:p>
    <w:p w14:paraId="659BB6E7" w14:textId="77777777" w:rsidR="00AD504C" w:rsidRPr="00566FE9" w:rsidRDefault="00AD504C" w:rsidP="00711432">
      <w:pPr>
        <w:pStyle w:val="aa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разделения банка-участника, отнесенного на момент разделения к классификационной группе Е;</w:t>
      </w:r>
    </w:p>
    <w:p w14:paraId="21C49A54" w14:textId="1BEBCEBD" w:rsidR="00AD504C" w:rsidRPr="00566FE9" w:rsidRDefault="00AD504C" w:rsidP="00711432">
      <w:pPr>
        <w:pStyle w:val="aa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выделения из банка-участника, отнесенного на момент выделения к классификационной группе Е.</w:t>
      </w:r>
    </w:p>
    <w:p w14:paraId="0B276667" w14:textId="007019EE" w:rsidR="00804725" w:rsidRPr="00566FE9" w:rsidRDefault="00804725" w:rsidP="008047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29 изложен в редакции решени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25.08.2023г. 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  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№ 25</w:t>
      </w:r>
    </w:p>
    <w:p w14:paraId="0E615D43" w14:textId="4056FAF8" w:rsidR="00AD504C" w:rsidRPr="00566FE9" w:rsidRDefault="00804725" w:rsidP="00711432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исключения банка-участника из системы обязательного гарантирования депозитов в отчетном квартале, расчет взноса за данный квартал не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производится. При прекращении обязанности банка-участника уплачивать взносы в связи с исключением его из системы обязательного гарантирования депозитов по основаниям, предусмотренными Законом, осуществляется сверка обязательств по уплате взносов за последний расчетный период на основании информации об обязательствах банка-участника перед депозиторами, полученной от такого банка-участника.</w:t>
      </w:r>
    </w:p>
    <w:p w14:paraId="2F1E7CAC" w14:textId="009DB1CE" w:rsidR="009615AC" w:rsidRPr="00566FE9" w:rsidRDefault="00804725" w:rsidP="00BC38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FA1AEF2" w14:textId="77777777" w:rsidR="00C95C95" w:rsidRPr="00566FE9" w:rsidRDefault="00C95C95" w:rsidP="00BC38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C1594C" w14:textId="1A3A010E" w:rsidR="00F223F4" w:rsidRPr="00566FE9" w:rsidRDefault="00C7013F" w:rsidP="00BC38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Правила дополнены главой 2-1 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соответствии с решением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</w:t>
      </w:r>
      <w:r w:rsidR="00B26CDA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от 27.08.2021г. № 23</w:t>
      </w:r>
    </w:p>
    <w:p w14:paraId="6C8B9B36" w14:textId="3968A473" w:rsidR="009615AC" w:rsidRPr="00566FE9" w:rsidRDefault="00F223F4" w:rsidP="0085308F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2-1. Порядок уплаты обязательных календарных взносов</w:t>
      </w:r>
    </w:p>
    <w:p w14:paraId="7E79ADCF" w14:textId="77777777" w:rsidR="002535BF" w:rsidRPr="00566FE9" w:rsidRDefault="002535BF" w:rsidP="0085308F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FAEE2BA" w14:textId="23C946D5" w:rsidR="000D2E8E" w:rsidRPr="00566FE9" w:rsidRDefault="006A79AB" w:rsidP="000D2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Пункт 30 </w:t>
      </w:r>
      <w:bookmarkStart w:id="7" w:name="_Hlk191550818"/>
      <w:r w:rsidRPr="00566FE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изложен в редакции решени</w:t>
      </w:r>
      <w:r w:rsidR="001C7FE6" w:rsidRPr="00566FE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я</w:t>
      </w:r>
      <w:r w:rsidRPr="00566FE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Совета директоров Фонда от 19.05.2023г. </w:t>
      </w:r>
      <w:r w:rsidR="001C7FE6" w:rsidRPr="00566FE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                </w:t>
      </w:r>
      <w:r w:rsidRPr="00566FE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№ 15</w:t>
      </w:r>
      <w:bookmarkEnd w:id="7"/>
      <w:r w:rsidR="002535BF" w:rsidRPr="00566FE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;</w:t>
      </w:r>
      <w:r w:rsidR="00253A6A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в редакции решения Совета директоров Фонда от 25.08.2023г. № 25</w:t>
      </w:r>
      <w:r w:rsidR="002535BF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;</w:t>
      </w:r>
      <w:r w:rsidR="002535BF" w:rsidRPr="00566FE9">
        <w:t xml:space="preserve"> </w:t>
      </w:r>
      <w:r w:rsidR="009B729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часть первая изложена в редакции решения Совета директоров Фонда от 26.12.2023г. № 37; пункт 30 изложен </w:t>
      </w:r>
      <w:r w:rsidR="00591F1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редакции решения Совета директоров Фонда от 10.05.2024г. № 11</w:t>
      </w:r>
      <w:r w:rsidR="003541B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; </w:t>
      </w:r>
      <w:r w:rsidR="003E2965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редакции решения Совета директоров Фонда от 14.02.2025 г. № 2</w:t>
      </w:r>
      <w:r w:rsidR="009B729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; часть первая изложена в редакции решения Совета директоров Фонда от 24.02.2026г. № 4</w:t>
      </w:r>
    </w:p>
    <w:p w14:paraId="70056FC5" w14:textId="325D7805" w:rsidR="003E2965" w:rsidRPr="00566FE9" w:rsidRDefault="003E2965" w:rsidP="003E2965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в срок до двадцать четвертого числа третьего месяца отчетного квартала включительно направляет уведомление банку-участнику в письменной форме с грифом «Конфиденциально» о его классификационной группе, ставке взноса за кредитный риск, взносе за системный риск и повышенном взносе </w:t>
      </w:r>
      <w:bookmarkStart w:id="8" w:name="_Hlk189132590"/>
      <w:r w:rsidR="004D00E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он подлежит уплате банком-участником</w:t>
      </w:r>
      <w:r w:rsidR="004D00E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8"/>
      <w:r w:rsidR="004D00E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 уведомление за первый квартал отчетного года содержит информацию о классификационной группе банка-участника и его ставке взноса за кредитный риск в соответствии с четвертым кварталом года, предшествующего отчетному. Дополнительно Фонд направляет банку-участнику в срок до десятого июня отчетного года уведомление о классификационной группе и ставке взноса за кредитный риск банка-участника за первый квартал отчетного года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1E8454" w14:textId="77777777" w:rsidR="003E2965" w:rsidRPr="00566FE9" w:rsidRDefault="003E2965" w:rsidP="003E296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/>
          <w:sz w:val="24"/>
          <w:szCs w:val="24"/>
          <w:lang w:eastAsia="ru-RU"/>
        </w:rPr>
        <w:t xml:space="preserve">Фонд на ежемесячной основе в срок до конца месяца, следующего за отчетным месяцем, </w:t>
      </w:r>
      <w:bookmarkStart w:id="9" w:name="_Hlk190700170"/>
      <w:r w:rsidRPr="00566FE9">
        <w:rPr>
          <w:rFonts w:ascii="Times New Roman" w:eastAsia="Times New Roman" w:hAnsi="Times New Roman"/>
          <w:sz w:val="24"/>
          <w:szCs w:val="24"/>
          <w:lang w:eastAsia="ru-RU"/>
        </w:rPr>
        <w:t xml:space="preserve">в электронной форме </w:t>
      </w:r>
      <w:bookmarkEnd w:id="9"/>
      <w:r w:rsidRPr="00566FE9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направляет банку-участнику уведомление о размере взноса за системный риск и повышенного взноса, </w:t>
      </w:r>
      <w:bookmarkStart w:id="10" w:name="_Hlk189132633"/>
      <w:r w:rsidRPr="00566FE9">
        <w:rPr>
          <w:rFonts w:ascii="Times New Roman" w:eastAsia="Times New Roman" w:hAnsi="Times New Roman"/>
          <w:sz w:val="24"/>
          <w:szCs w:val="24"/>
          <w:lang w:eastAsia="ru-RU"/>
        </w:rPr>
        <w:t>если он подлежит уплате банком-участником по основанию, установленному пунктом 5-1 Правил,</w:t>
      </w:r>
      <w:bookmarkEnd w:id="10"/>
      <w:r w:rsidRPr="00566FE9">
        <w:rPr>
          <w:rFonts w:ascii="Times New Roman" w:eastAsia="Times New Roman" w:hAnsi="Times New Roman"/>
          <w:sz w:val="24"/>
          <w:szCs w:val="24"/>
          <w:lang w:eastAsia="ru-RU"/>
        </w:rPr>
        <w:t xml:space="preserve"> по форме согласно приложению 8 к Правилам.</w:t>
      </w:r>
    </w:p>
    <w:p w14:paraId="30BEAD72" w14:textId="3C9DADBA" w:rsidR="00253A6A" w:rsidRPr="00566FE9" w:rsidRDefault="00253A6A" w:rsidP="003E296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/>
          <w:sz w:val="24"/>
          <w:szCs w:val="24"/>
          <w:lang w:eastAsia="ru-RU"/>
        </w:rPr>
        <w:t>Отправка уведомлений осуществляется способами, предусмотренными в договоре присоединения.</w:t>
      </w:r>
    </w:p>
    <w:p w14:paraId="2393A2B0" w14:textId="4034DD0E" w:rsidR="00253A6A" w:rsidRPr="00566FE9" w:rsidRDefault="00253A6A" w:rsidP="00253A6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/>
          <w:sz w:val="24"/>
          <w:szCs w:val="24"/>
          <w:lang w:eastAsia="ru-RU"/>
        </w:rPr>
        <w:t>Не допускается раскрытие банком-участником информации, указанной в части первой настоящего пункта, посредством финансовой отчетности, за исключением случая указания в ней общей суммы уплаченных банком-участником обязательных календарных, дополнительных и чрезвычайных взносов.</w:t>
      </w:r>
    </w:p>
    <w:p w14:paraId="3CADB678" w14:textId="7144C2BB" w:rsidR="00253A6A" w:rsidRPr="00566FE9" w:rsidRDefault="00253A6A" w:rsidP="00253A6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Дополнен пунктом 30-1</w:t>
      </w:r>
      <w:r w:rsidR="00ED087C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соответствии с решением Совета директоров Фонда от 25.08.2023г. № 25</w:t>
      </w:r>
      <w:r w:rsidR="006A49D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, абзац первый изложен в редакции решения Совета директоров Фонда от 14.02.2025 г. № 2</w:t>
      </w:r>
      <w:r w:rsidR="001A7D45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, изложен в редакции решения Совета директоров Фонда от 15.04.2025 г. № 9</w:t>
      </w:r>
    </w:p>
    <w:p w14:paraId="1801375B" w14:textId="77777777" w:rsidR="00A52C12" w:rsidRPr="00566FE9" w:rsidRDefault="00A52C12" w:rsidP="00A52C1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/>
          <w:sz w:val="24"/>
          <w:szCs w:val="24"/>
          <w:lang w:eastAsia="ru-RU"/>
        </w:rPr>
        <w:t>30-1. В случае выявления оснований для уплаты банком-участником повышенного взноса и (или) взноса за системный риск после направления уведомления банку-участнику о его классификационной группе и ставке взноса за кредитный риск, а также в случае перерасчета повышенного взноса и (или) взноса за системный риск согласно пункту 37 Правил, Фонд направляет банку-участнику дополнительное уведомление о необходимости уплаты и (или) перерасчете повышенного взноса и (или) взноса за системный риск.</w:t>
      </w:r>
    </w:p>
    <w:p w14:paraId="01B55A61" w14:textId="77777777" w:rsidR="00A52C12" w:rsidRPr="00566FE9" w:rsidRDefault="00A52C12" w:rsidP="00A52C1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/>
          <w:sz w:val="24"/>
          <w:szCs w:val="24"/>
          <w:lang w:eastAsia="ru-RU"/>
        </w:rPr>
        <w:t>В случае необходимости уплаты повышенного взноса и (или) взноса за системный риск, банк-участник уплачивает повышенный взнос и (или) взнос за системный риск:</w:t>
      </w:r>
    </w:p>
    <w:p w14:paraId="2558F72F" w14:textId="77777777" w:rsidR="00A52C12" w:rsidRPr="00566FE9" w:rsidRDefault="00A52C12" w:rsidP="00A52C1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1) в течение пятнадцати календарных дней со дня направления дополнительного уведомления за периоды, по которым банк-участник уже уплатил обязательный календарный взнос;</w:t>
      </w:r>
    </w:p>
    <w:p w14:paraId="610F858A" w14:textId="77777777" w:rsidR="00A52C12" w:rsidRPr="00566FE9" w:rsidRDefault="00A52C12" w:rsidP="00A52C1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/>
          <w:sz w:val="24"/>
          <w:szCs w:val="24"/>
          <w:lang w:eastAsia="ru-RU"/>
        </w:rPr>
        <w:t>2) в сроки, определенные пунктом 31 Правил, за периоды, по которым банк-участник еще не уплатил обязательный календарный взнос.</w:t>
      </w:r>
    </w:p>
    <w:p w14:paraId="4A81B232" w14:textId="61EB3947" w:rsidR="001A7D45" w:rsidRPr="00566FE9" w:rsidRDefault="001A7D45" w:rsidP="001A7D4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0EBB69" w14:textId="7BAF1A7D" w:rsidR="006731DE" w:rsidRPr="00566FE9" w:rsidRDefault="00614D98" w:rsidP="001A7D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Часть вторая п</w:t>
      </w:r>
      <w:r w:rsidR="006731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одпункт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а</w:t>
      </w:r>
      <w:r w:rsidR="006731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2) пункта 31 изложен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а</w:t>
      </w:r>
      <w:r w:rsidR="006731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в редакции решения Совета директоров Фонда от 10.05.2024г. № 11</w:t>
      </w:r>
      <w:r w:rsidR="006A49D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, пункт 31 изложен в редакции решения Совета директоров Фонда от 14.02.2025г. № 2</w:t>
      </w:r>
      <w:r w:rsidR="009502CC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часть третья пункта 31 изложена в редакции решения Совета директоров Фонда от </w:t>
      </w:r>
      <w:r w:rsidR="00563FF3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24</w:t>
      </w:r>
      <w:r w:rsidR="009502CC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.0</w:t>
      </w:r>
      <w:r w:rsidR="00563FF3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</w:t>
      </w:r>
      <w:r w:rsidR="009502CC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.202</w:t>
      </w:r>
      <w:r w:rsidR="00563FF3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6</w:t>
      </w:r>
      <w:r w:rsidR="009502CC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г. 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№ 4</w:t>
      </w:r>
    </w:p>
    <w:p w14:paraId="2B488E3E" w14:textId="7AFEC5BA" w:rsidR="0047668E" w:rsidRPr="00566FE9" w:rsidRDefault="0047668E" w:rsidP="0047668E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Банк-участник уплачивает </w:t>
      </w:r>
      <w:r w:rsidR="006A49D6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обязательный календарный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 до пятнадцатого числа первого месяца (включительно), следующего за отчетным кварталом. В случае если пятнадцатое число месяца приходится на нерабочий день, срок уплаты взноса истекает на следующий за ним рабочий день.</w:t>
      </w:r>
    </w:p>
    <w:p w14:paraId="10E4DA8A" w14:textId="77777777" w:rsidR="00E14188" w:rsidRPr="00566FE9" w:rsidRDefault="00E14188" w:rsidP="00E141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1" w:name="_Hlk185424519"/>
      <w:r w:rsidRPr="00566FE9">
        <w:rPr>
          <w:rFonts w:ascii="Times New Roman" w:eastAsia="Times New Roman" w:hAnsi="Times New Roman"/>
          <w:sz w:val="24"/>
          <w:szCs w:val="24"/>
          <w:lang w:eastAsia="ru-RU"/>
        </w:rPr>
        <w:t>Уплата взноса производится в тенге с учетом округления тиынов в следующем порядке:</w:t>
      </w:r>
    </w:p>
    <w:p w14:paraId="36A09F39" w14:textId="77777777" w:rsidR="00E14188" w:rsidRPr="00566FE9" w:rsidRDefault="00E14188" w:rsidP="00E141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/>
          <w:sz w:val="24"/>
          <w:szCs w:val="24"/>
          <w:lang w:eastAsia="ru-RU"/>
        </w:rPr>
        <w:t>сумма до 49 тиын (включительно) округляется до 0 тенге;</w:t>
      </w:r>
    </w:p>
    <w:p w14:paraId="4B09254C" w14:textId="77777777" w:rsidR="00E14188" w:rsidRPr="00566FE9" w:rsidRDefault="00E14188" w:rsidP="00E141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/>
          <w:sz w:val="24"/>
          <w:szCs w:val="24"/>
          <w:lang w:eastAsia="ru-RU"/>
        </w:rPr>
        <w:t>сумма от 50 тиын округляется до 1 тенге.</w:t>
      </w:r>
    </w:p>
    <w:bookmarkEnd w:id="11"/>
    <w:p w14:paraId="1985B725" w14:textId="698CFB4C" w:rsidR="0047668E" w:rsidRPr="00566FE9" w:rsidRDefault="0047668E" w:rsidP="00476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Уплата </w:t>
      </w:r>
      <w:r w:rsidR="004D00E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обязательного календарного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 за первый квартал отчетного года</w:t>
      </w:r>
      <w:r w:rsidR="004D00E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00E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включая взнос за кредитный риск,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его ставке взноса </w:t>
      </w:r>
      <w:r w:rsidR="00E1418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кредитный риск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четвертый квартал года, предшествующего отчетному</w:t>
      </w:r>
      <w:r w:rsidR="004D00E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осуществляется банком-участником в срок до пятнадцатого апреля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изменения согласно уведомлению Фонда классификационной группы и ставки взноса </w:t>
      </w:r>
      <w:r w:rsidR="00E1418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кредитный риск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банка-участника за первый квартал отчетного года по сравнению с четвертым кварталом года, предшествующего отчетному, производится корректировка уплаченного банком-участником </w:t>
      </w:r>
      <w:r w:rsidR="004D00E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обязательного календарного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 за первый квартал отчетного года в следующем порядке:</w:t>
      </w:r>
    </w:p>
    <w:p w14:paraId="39CFB905" w14:textId="35705277" w:rsidR="0047668E" w:rsidRPr="00566FE9" w:rsidRDefault="0047668E" w:rsidP="0047668E">
      <w:pPr>
        <w:pStyle w:val="aa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излишне уплаченной банком-участником суммы взноса в результате снижения ставки взноса</w:t>
      </w:r>
      <w:r w:rsidR="00E1418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кредитный риск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такая сумма подлежит зачету в счет предстоящих платежей по взносам банка-участника;</w:t>
      </w:r>
    </w:p>
    <w:p w14:paraId="0EE4C18B" w14:textId="78ADAD52" w:rsidR="0047668E" w:rsidRPr="00566FE9" w:rsidRDefault="006731DE" w:rsidP="0047668E">
      <w:pPr>
        <w:pStyle w:val="aa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недоплаты взноса в результате увеличения ставки взноса</w:t>
      </w:r>
      <w:r w:rsidR="00E1418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кредитный риск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уплата задолженности производится банком-участником в срок до двадцатого июня (включительно) отчетного года</w:t>
      </w:r>
      <w:r w:rsidR="0047668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B3D657" w14:textId="02091DC5" w:rsidR="0051798D" w:rsidRPr="00566FE9" w:rsidRDefault="0051798D" w:rsidP="0051798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Дополнен пунктом 31-1 в соответствии с решением Совета директоров Фонда от 10.05.2024г. № 11</w:t>
      </w:r>
    </w:p>
    <w:p w14:paraId="32C7B96D" w14:textId="51FD1F29" w:rsidR="0051798D" w:rsidRPr="00566FE9" w:rsidRDefault="002515B6" w:rsidP="002515B6">
      <w:pPr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31-1.  В случае неисполнения банком-участником обязательств по уплате взносов в сроки, определенные пунктами 30-1 и 31 Правил, Фонд в течении пяти рабочих дней после истечения срока уплаты взносов направляет банку-участнику письменное уведомление о неисполнении банком-участником своих обязательств, начислении пени и возможных мерах Фонда по взысканию задолженности по взносам и начисленной пене.</w:t>
      </w:r>
    </w:p>
    <w:p w14:paraId="7DD8363D" w14:textId="7D1B4004" w:rsidR="00516BC5" w:rsidRPr="00566FE9" w:rsidRDefault="00516BC5" w:rsidP="00516B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 пункт </w:t>
      </w:r>
      <w:r w:rsidR="001419A2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32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6544F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внесены изменения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 соответствии с решением 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Совета директоров Фонда от 25.08.2023г. № 25</w:t>
      </w:r>
      <w:r w:rsidR="006A49D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, пункт 32 изложен в редакции решения Совета директоров Фонда от 14.02.2025 г. № 2</w:t>
      </w:r>
    </w:p>
    <w:p w14:paraId="24751FDE" w14:textId="0AE392CE" w:rsidR="00E14188" w:rsidRPr="00566FE9" w:rsidRDefault="00E55745" w:rsidP="00E14188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</w:t>
      </w:r>
      <w:r w:rsidR="00E1418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размера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</w:t>
      </w:r>
      <w:r w:rsidR="00E1418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кредитный риск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банком-участником самостоятельно путем умножения ставки взноса</w:t>
      </w:r>
      <w:r w:rsidR="00E1418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кредитный риск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E1418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депозитную базу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банка-участника, </w:t>
      </w:r>
      <w:r w:rsidR="00E1418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</w:t>
      </w:r>
      <w:r w:rsidR="003E3A4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аблицы 1 </w:t>
      </w:r>
      <w:r w:rsidR="00AF5C9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тчет</w:t>
      </w:r>
      <w:r w:rsidR="00AF5C9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INDDEP</w:t>
      </w:r>
      <w:r w:rsidR="009D7CD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состоянию на первое число месяца следующего за отчетным кварталом. </w:t>
      </w:r>
    </w:p>
    <w:p w14:paraId="53FB7D2E" w14:textId="0EEA8908" w:rsidR="00EB2F31" w:rsidRPr="00566FE9" w:rsidRDefault="00EB2F31" w:rsidP="00EB2F3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Дополнен пунктом 32-1</w:t>
      </w:r>
      <w:r w:rsidR="00ED087C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соответствии с решением Совета директоров Фонда от 25.08.2023г. № 25</w:t>
      </w:r>
      <w:r w:rsidR="00FF7A62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, пункт 32-1 изложен в редакции решения Совета директоров Фонда от 14.02.2025 г. № 2</w:t>
      </w:r>
    </w:p>
    <w:p w14:paraId="609A08A1" w14:textId="2041CDDC" w:rsidR="00EB2F31" w:rsidRPr="00566FE9" w:rsidRDefault="00EB2F31" w:rsidP="00EB2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32-1. Размер взноса за системный риск </w:t>
      </w:r>
      <w:r w:rsidR="00E1418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повышенного взноса по </w:t>
      </w:r>
      <w:r w:rsidR="0005583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основанию, установленному пунктом 5-1 Правил</w:t>
      </w:r>
      <w:r w:rsidR="00FF7A62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1418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учитывается банком-участником при расчете суммы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обязательного календарного взноса за три месяца, предшествующих первому числу третьего месяца отчетного квартала, путем кредитования (дебетования) обязательного календарного взноса</w:t>
      </w:r>
      <w:r w:rsidR="003D7266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2E60E2" w14:textId="3417FAD3" w:rsidR="00F223F4" w:rsidRPr="00566FE9" w:rsidRDefault="00F223F4" w:rsidP="00711432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присоединении банка-участника к другому банку-участнику (добровольная реорганизация) и полной передачи его обязательств перед депозиторами-физическими лицами, уплата взносов (в том числе не уплаченных присоединяемым банком-участником на дату фактической передачи его обязательств) производится банком-участником, к которому осуществляется присоединение.</w:t>
      </w:r>
    </w:p>
    <w:p w14:paraId="16FE5296" w14:textId="70B6EDE5" w:rsidR="00FF7A62" w:rsidRPr="00566FE9" w:rsidRDefault="00FF7A62" w:rsidP="00FF7A62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пункт 34 внесено дополнение в соответствии с решением Совета директоров Фонда от 14.02.2025 г. № 2</w:t>
      </w:r>
    </w:p>
    <w:p w14:paraId="164775C7" w14:textId="115B2FD8" w:rsidR="00F223F4" w:rsidRPr="00566FE9" w:rsidRDefault="00F223F4" w:rsidP="00711432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Банк-участник вправе оспорить классификационную группу и ставку взноса </w:t>
      </w:r>
      <w:r w:rsidR="00E1418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кредитный риск и сумму обязательного календарного взноса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срок до последнего дня уплаты взноса включительно, направить в Фонд мотивированное письмо-возражение с приложением соответствующих документов.</w:t>
      </w:r>
    </w:p>
    <w:p w14:paraId="4E7E0532" w14:textId="2DD50023" w:rsidR="003B3E56" w:rsidRPr="00566FE9" w:rsidRDefault="003B3E56" w:rsidP="003B3E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Пункт 35 изложен в редакции 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решения 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Совета директоров Фонда от </w:t>
      </w:r>
      <w:r w:rsidR="00D30933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27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.09.2022г. 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№ </w:t>
      </w:r>
      <w:r w:rsidR="00D30933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29</w:t>
      </w:r>
    </w:p>
    <w:p w14:paraId="539A27F4" w14:textId="39EE1592" w:rsidR="00F223F4" w:rsidRPr="00566FE9" w:rsidRDefault="00F223F4" w:rsidP="00711432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обязан рассмотреть представленное банком-участником письмо-возражение в течение пятнадцати </w:t>
      </w:r>
      <w:r w:rsidR="003B3E56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его получения.</w:t>
      </w:r>
    </w:p>
    <w:p w14:paraId="7DBE671D" w14:textId="678ACCFC" w:rsidR="00FF7A62" w:rsidRPr="00566FE9" w:rsidRDefault="00FF7A62" w:rsidP="00FF7A62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36 изложен в редакции решения Совета директоров Фонда от 14.02.2025 г. № 2</w:t>
      </w:r>
    </w:p>
    <w:p w14:paraId="5BFB9ED8" w14:textId="76558059" w:rsidR="00F223F4" w:rsidRPr="00566FE9" w:rsidRDefault="00F223F4" w:rsidP="00711432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неурегулирования возникшей между банком-участником и Фондом спорной ситуации в срок до последнего дня уплаты </w:t>
      </w:r>
      <w:r w:rsidR="00FF7A62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обязательного календарного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взноса, банк-участник обязан его уплатить </w:t>
      </w:r>
      <w:bookmarkStart w:id="12" w:name="_Hlk185424885"/>
      <w:r w:rsidR="00E1418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уведомлениями Фонда</w:t>
      </w:r>
      <w:bookmarkEnd w:id="12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Уплата банком-участником </w:t>
      </w:r>
      <w:r w:rsidR="00055839" w:rsidRPr="00566FE9">
        <w:rPr>
          <w:rFonts w:ascii="Times New Roman" w:hAnsi="Times New Roman"/>
          <w:sz w:val="24"/>
          <w:szCs w:val="24"/>
        </w:rPr>
        <w:t xml:space="preserve">обязательного календарного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 не приостанавливает дальнейшее рассмотрение Фондом предъявленного банком-участником письма-возражения.</w:t>
      </w:r>
    </w:p>
    <w:p w14:paraId="3D2CFAE6" w14:textId="7665B023" w:rsidR="00A85EA1" w:rsidRPr="00566FE9" w:rsidRDefault="00FF7A62" w:rsidP="00A85EA1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пункт 37 внесены изменения в соответствии с решением Совета директоров Фонда от 14.02.2025 г. № 2</w:t>
      </w:r>
      <w:r w:rsidR="001A7D45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, изложен в редакции решения Совета директоров Фонда от 15.04.2025 г. № 9</w:t>
      </w:r>
      <w:r w:rsidR="00A85EA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r w:rsidR="009B729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внесены изменения в соответствии с решением Совета директоров Фонда от 05.11.2025 г. № 25, </w:t>
      </w:r>
      <w:r w:rsidR="00D241B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часть вторая пункта 37 изложена в редакции решения </w:t>
      </w:r>
      <w:r w:rsidR="00A85EA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Совета директоров Фонда от 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24</w:t>
      </w:r>
      <w:r w:rsidR="00A85EA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02</w:t>
      </w:r>
      <w:r w:rsidR="00A85EA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.202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6</w:t>
      </w:r>
      <w:r w:rsidR="00A85EA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г. 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№ 4</w:t>
      </w:r>
    </w:p>
    <w:p w14:paraId="0B339CC1" w14:textId="27E7F326" w:rsidR="001A7D45" w:rsidRPr="00566FE9" w:rsidRDefault="001A7D45" w:rsidP="001A7D45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вправе пересмотреть классификационную группу банка-участника после ее определения и (или) осуществить перерасчет взноса(-ов) в случаях: </w:t>
      </w:r>
    </w:p>
    <w:p w14:paraId="56113E2D" w14:textId="77777777" w:rsidR="001A7D45" w:rsidRPr="00566FE9" w:rsidRDefault="001A7D45" w:rsidP="001A7D4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получения от Национального Банка откорректированной отчетности, ранее представленной банками-участниками;</w:t>
      </w:r>
    </w:p>
    <w:p w14:paraId="6E8B28AD" w14:textId="77777777" w:rsidR="001A7D45" w:rsidRPr="00566FE9" w:rsidRDefault="001A7D45" w:rsidP="001A7D4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получения сведений от уполномоченного органа о фактах выявления им недостоверной информации, ранее представленной банками-участниками, по результатам инспекторской или иной проверки, а также иных сведений, влияющих на определение классификационной группы и (или) суммы взноса банка-участника;</w:t>
      </w:r>
    </w:p>
    <w:p w14:paraId="6BA45700" w14:textId="77777777" w:rsidR="001A7D45" w:rsidRPr="00566FE9" w:rsidRDefault="001A7D45" w:rsidP="001A7D4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выявления Фондом недостоверных отчетов или сведений, ранее представленных банками-участниками, по результатам проведенных плановых (внеплановых) мероприятий по установлению соответствия автоматизированной базы данных учета гарантированных депозитов требованиям, установленным договором присоединения;</w:t>
      </w:r>
    </w:p>
    <w:p w14:paraId="1AAA9968" w14:textId="77777777" w:rsidR="001A7D45" w:rsidRPr="00566FE9" w:rsidRDefault="001A7D45" w:rsidP="001A7D4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рассмотрения письма-возражения банка-участника и признания его обоснованным.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DCBEEBE" w14:textId="060209B6" w:rsidR="001A7D45" w:rsidRPr="00566FE9" w:rsidRDefault="001A7D45" w:rsidP="001A7D4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получения от Национального Банка откорректированных сведений по </w:t>
      </w:r>
      <w:r w:rsidR="00C5345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формам Таблиц 1 и 5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отчету INDDEP-1 Фонд осуществляет перерасчет средневзвешенной рыночной ставки по вкладам</w:t>
      </w:r>
      <w:r w:rsidR="00C811E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взноса за системный риск.</w:t>
      </w:r>
    </w:p>
    <w:p w14:paraId="702272ED" w14:textId="77777777" w:rsidR="001A7D45" w:rsidRPr="00566FE9" w:rsidRDefault="001A7D45" w:rsidP="001A7D4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Перерасчет размера взносов банка-участника производится за все периоды, по которым была представлена некорректная либо подлежащая корректировке по результатам инспекторской или иной проверки информация, и иные сведения, влияющие на определение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классификационной группы и (или) размера взноса(-ов) банка-участника, а также за все последующие периоды при необходимости и доводится до сведения банка-участника(-ов).</w:t>
      </w:r>
    </w:p>
    <w:p w14:paraId="756A683B" w14:textId="2A2362DA" w:rsidR="00FF7A62" w:rsidRPr="00566FE9" w:rsidRDefault="003B0AA8" w:rsidP="001A7D45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38 изложен в редакции решени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29.04.2022г.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№ 14</w:t>
      </w:r>
      <w:r w:rsidR="001419A2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; </w:t>
      </w:r>
      <w:r w:rsidR="009B4A12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внесены изменения</w:t>
      </w:r>
      <w:r w:rsidR="005A1A3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 соответствии с решением </w:t>
      </w:r>
      <w:r w:rsidR="005A1A3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Совета директоров Фонда от 25.08.2023г. № 25</w:t>
      </w:r>
      <w:r w:rsidR="00FF7A62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; внесено дополнение в соответствии с решением Совета директоров Фонда от 14.02.2025 г. № 2</w:t>
      </w:r>
      <w:r w:rsidR="001A7D45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; </w:t>
      </w:r>
      <w:r w:rsidR="00D241B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внесено изменение в соответствии с решением Совета директоров Фонда от 15.04.2025 г. № 9; изложен в редакции</w:t>
      </w:r>
      <w:r w:rsidR="001A7D45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решени</w:t>
      </w:r>
      <w:r w:rsidR="00D241B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="001A7D45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</w:t>
      </w:r>
      <w:r w:rsidR="00C952BB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24</w:t>
      </w:r>
      <w:r w:rsidR="001A7D45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.0</w:t>
      </w:r>
      <w:r w:rsidR="00C952BB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</w:t>
      </w:r>
      <w:r w:rsidR="001A7D45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.202</w:t>
      </w:r>
      <w:r w:rsidR="00C952BB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6</w:t>
      </w:r>
      <w:r w:rsidR="001A7D45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г. 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№ 4</w:t>
      </w:r>
    </w:p>
    <w:p w14:paraId="4F888340" w14:textId="4DDD8D7B" w:rsidR="00F223F4" w:rsidRPr="00566FE9" w:rsidRDefault="003B0AA8" w:rsidP="00605FB4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сведений, включая замену неполных, некорректно заполненных или недостоверных сведений по </w:t>
      </w:r>
      <w:r w:rsidR="005A1A3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формам Таблицы 5</w:t>
      </w:r>
      <w:r w:rsidR="00D55EFB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Таблицы 6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Таблицы 7 согласно отчету INDDEP</w:t>
      </w:r>
      <w:r w:rsidR="009D7CD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истечении 3 (трех) рабочих дней со дня срока представления, установленного постановлением Правления Национального Банка от </w:t>
      </w:r>
      <w:r w:rsidR="00C811E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2 декабря 2025 года № 88 «Об утверждении Правил представления отчетности банками второго уровня, филиалами банков-нерезидентов Республики Казахстан и акционерным обществом «Банк Развития Казахстана»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является основанием для перерасчета </w:t>
      </w:r>
      <w:r w:rsidR="001A7D45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</w:t>
      </w:r>
      <w:r w:rsidR="00D241B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="001A7D45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</w:t>
      </w:r>
      <w:r w:rsidR="00D241B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A7D45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ПВ1</w:t>
      </w:r>
      <w:r w:rsidR="00C811E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ПВ2</w:t>
      </w:r>
      <w:r w:rsidR="001A7D45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случаях, предусмотренных пунктом 37 Правил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CFB35B" w14:textId="06C653BD" w:rsidR="00FF7A62" w:rsidRPr="00566FE9" w:rsidRDefault="00FF7A62" w:rsidP="00FF7A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пункт 39 внесено изменение в соответствии с решением Совета директоров Фонда от 14.02.2025 г. № 2</w:t>
      </w:r>
    </w:p>
    <w:p w14:paraId="432004F1" w14:textId="77777777" w:rsidR="00F223F4" w:rsidRPr="00566FE9" w:rsidRDefault="00F223F4" w:rsidP="00605FB4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поступления излишне уплаченной суммы взноса банка-участника такая сумма подлежит зачету в счет предстоящих платежей по взносам банка-участника.</w:t>
      </w:r>
    </w:p>
    <w:p w14:paraId="3E6A7176" w14:textId="51BEFFEB" w:rsidR="00F223F4" w:rsidRPr="00566FE9" w:rsidRDefault="00F223F4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у банка-участника, находящегося в процессе добровольной реорганизации в форме присоединения к другому банку-участнику, при полной передаче обязательств такого банка-участника перед депозиторами другому банку-участнику, имеется излишне уплаченная сумма взноса, то данная сумма подлежит зачету в счет предстоящих платежей по взносам банка-участника, принимающего активы и обязательства такого банка-участника.</w:t>
      </w:r>
    </w:p>
    <w:p w14:paraId="1018F84B" w14:textId="35F13CD1" w:rsidR="00FF7A62" w:rsidRPr="00566FE9" w:rsidRDefault="00FF7A62" w:rsidP="00FF7A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пункт 40 внесено изменение в соответствии с решением Совета директоров Фонда от 14.02.2025 г. № 2</w:t>
      </w:r>
    </w:p>
    <w:p w14:paraId="148F8287" w14:textId="276CB9C2" w:rsidR="00F223F4" w:rsidRPr="00566FE9" w:rsidRDefault="00F223F4" w:rsidP="00605FB4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изменения по результатам пересмотра в порядке, установленном пунктом 37 Правил, классификационной группы и </w:t>
      </w:r>
      <w:r w:rsidR="00D55EFB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размера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взноса банка-участника за предыдущие кварталы, сумма недоплаты взносов банка-участника на каждый квартал исчисляется в размере, не превышающем общей суммы взносов, уплаченных банком-участником за 2 (два) квартала, предшествовавших кварталу, за который производится перерасчет.</w:t>
      </w:r>
    </w:p>
    <w:p w14:paraId="608F3388" w14:textId="652A2AA3" w:rsidR="00F223F4" w:rsidRPr="00566FE9" w:rsidRDefault="00F223F4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образовавшейся задолженности по взносам, за исключением случая возникновения недоплаты взноса, предусмотренного подпунктом 2) части второй пункта 31 Правил, производится банком-участником в срок, установленный решением Совета директоров Фонда, но не превышающий 360 (трехсот шестидесяти) календарных дней со дня вынесения такого решения.</w:t>
      </w:r>
    </w:p>
    <w:p w14:paraId="1DB2A77A" w14:textId="7002423C" w:rsidR="00FF7A62" w:rsidRPr="00566FE9" w:rsidRDefault="00FF7A62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B3F1A2" w14:textId="77777777" w:rsidR="00994474" w:rsidRPr="00566FE9" w:rsidRDefault="00994474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11FC02" w14:textId="0B855C1E" w:rsidR="009615AC" w:rsidRPr="00566FE9" w:rsidRDefault="009615AC" w:rsidP="0085308F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3. Порядок определения размера и уплаты дополнительных и чрезвычайных взносов</w:t>
      </w:r>
    </w:p>
    <w:p w14:paraId="162B9516" w14:textId="77777777" w:rsidR="00A14062" w:rsidRPr="00566FE9" w:rsidRDefault="00A14062" w:rsidP="0085308F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7FD9199" w14:textId="191B0081" w:rsidR="009615AC" w:rsidRPr="00566FE9" w:rsidRDefault="00660A8B" w:rsidP="00FF7A6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8B">
        <w:rPr>
          <w:rFonts w:ascii="Times New Roman" w:hAnsi="Times New Roman" w:cs="Times New Roman"/>
          <w:i/>
          <w:color w:val="FF0000"/>
          <w:sz w:val="24"/>
          <w:szCs w:val="24"/>
        </w:rPr>
        <w:t>В пункт</w:t>
      </w:r>
      <w:r w:rsidR="00FF7A62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41 </w:t>
      </w:r>
      <w:r w:rsidRPr="00660A8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внесены изменения в соответствии с решением </w:t>
      </w:r>
      <w:r w:rsidR="00FF7A62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Совета директоров Фонда от 14.02.2025 г. № 2</w:t>
      </w:r>
      <w:r w:rsidR="000A7BF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внесены изменения в соответствии с решением Совета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директоров Фонда </w:t>
      </w:r>
      <w:r w:rsidR="000A7BF0">
        <w:rPr>
          <w:rFonts w:ascii="Times New Roman" w:hAnsi="Times New Roman" w:cs="Times New Roman"/>
          <w:i/>
          <w:color w:val="FF0000"/>
          <w:sz w:val="24"/>
          <w:szCs w:val="24"/>
        </w:rPr>
        <w:t>от 31.03.2026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г.</w:t>
      </w:r>
      <w:r w:rsidR="000A7BF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№ 7</w:t>
      </w:r>
      <w:r w:rsidR="00D02FA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(введены</w:t>
      </w:r>
      <w:r w:rsidR="00D02FA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в действие с 19 марта 2026 года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</w:p>
    <w:p w14:paraId="45C76F40" w14:textId="5D5BF42F" w:rsidR="00FF0EBB" w:rsidRPr="00566FE9" w:rsidRDefault="009615AC" w:rsidP="00605FB4">
      <w:pPr>
        <w:pStyle w:val="aa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недостато</w:t>
      </w:r>
      <w:r w:rsidR="000160BD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чности </w:t>
      </w:r>
      <w:r w:rsidR="00FF7A62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 </w:t>
      </w:r>
      <w:r w:rsidR="000160BD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специального резерва </w:t>
      </w:r>
      <w:r w:rsidR="00D55EFB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собственных активов </w:t>
      </w:r>
      <w:r w:rsidR="000160BD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Фонда</w:t>
      </w:r>
      <w:r w:rsidR="00D55EFB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используемых в порядке, предусмотренном пунктом 4 статьи 22 Закона,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выплаты гарантийного возмещения депозиторам банка-участника, лишенного </w:t>
      </w:r>
      <w:r w:rsidR="000A7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банковской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лицензии на </w:t>
      </w:r>
      <w:r w:rsidR="000A7B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осуществление</w:t>
      </w:r>
      <w:r w:rsidR="000A7BF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</w:t>
      </w:r>
      <w:r w:rsidR="000A7BF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</w:t>
      </w:r>
      <w:r w:rsidR="000A7BF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операций, все банки-участники обязаны уплатить дополнительные взносы.</w:t>
      </w:r>
    </w:p>
    <w:p w14:paraId="0F03CDD5" w14:textId="77777777" w:rsidR="009615AC" w:rsidRPr="00566FE9" w:rsidRDefault="000160BD" w:rsidP="00605FB4">
      <w:pPr>
        <w:pStyle w:val="aa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заимствовании Фондом</w:t>
      </w:r>
      <w:r w:rsidR="009615A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денег в случаях, предусмотренных Законом, банки-участники обязаны уплачивать чрезвычайные взносы </w:t>
      </w:r>
      <w:r w:rsidR="00F80817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9615A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полного</w:t>
      </w:r>
      <w:r w:rsidR="009615AC" w:rsidRPr="00566F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9615A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погашения указанного займа и начисленного по нему вознаграждения. </w:t>
      </w:r>
    </w:p>
    <w:p w14:paraId="1FFC2738" w14:textId="7F1C9E99" w:rsidR="00FF0EBB" w:rsidRPr="00566FE9" w:rsidRDefault="009615AC" w:rsidP="00605FB4">
      <w:pPr>
        <w:pStyle w:val="aa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Размер и сроки уплаты банками-участниками дополнительных и чрезвычайных взносов определяются решением Совета директоров </w:t>
      </w:r>
      <w:r w:rsidR="000160BD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Фонда</w:t>
      </w:r>
      <w:r w:rsidRPr="00566F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14:paraId="6CF62D70" w14:textId="59F67EDA" w:rsidR="00A14062" w:rsidRPr="00566FE9" w:rsidRDefault="00A14062" w:rsidP="00A14062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ab/>
        <w:t xml:space="preserve">Пункт 44 изложен </w:t>
      </w:r>
      <w:r w:rsidR="00D241B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 редакции решения Совета директоров Фонда от 14.02.2025 г. № 2, 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редакции решения Совета директоров Фонда от 14.02.202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6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г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. № 4</w:t>
      </w:r>
    </w:p>
    <w:p w14:paraId="65B076DC" w14:textId="77777777" w:rsidR="00C811E9" w:rsidRPr="00566FE9" w:rsidRDefault="009615AC" w:rsidP="00605FB4">
      <w:pPr>
        <w:pStyle w:val="aa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дополнительного взноса банка-участника не должен превышать</w:t>
      </w:r>
      <w:r w:rsidR="00D44931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размер, установленный Законом</w:t>
      </w:r>
      <w:r w:rsidR="00C811E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77943B8" w14:textId="4A742B5D" w:rsidR="00FF0EBB" w:rsidRPr="00566FE9" w:rsidRDefault="00C811E9" w:rsidP="00C811E9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размера дополнительного взноса используется размер обязательного календарного взноса, уплачиваемого банком-участником, за предшествующий квартал, без учета взноса за системный риск, в случае его отрицательного значения</w:t>
      </w:r>
      <w:r w:rsidR="009615A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328914" w14:textId="77777777" w:rsidR="00D241B8" w:rsidRPr="00566FE9" w:rsidRDefault="00A14062" w:rsidP="00D241B8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ab/>
        <w:t xml:space="preserve">Пункт 45 </w:t>
      </w:r>
      <w:r w:rsidR="00D241B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изложен в редакции решения Совета директоров Фонда от 14.02.2025 г. № 2, в редакции решения Совета директоров Фонда от 14.02.2026 г. № 4</w:t>
      </w:r>
    </w:p>
    <w:p w14:paraId="5F4AAE99" w14:textId="3EC1A825" w:rsidR="00C811E9" w:rsidRPr="00566FE9" w:rsidRDefault="009615AC" w:rsidP="00D241B8">
      <w:pPr>
        <w:pStyle w:val="aa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размер чрезвычайного взноса банка-участника не должен превышать</w:t>
      </w:r>
      <w:r w:rsidR="00A14062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4931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размер, установленный Законом</w:t>
      </w:r>
      <w:r w:rsidR="00C811E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811E9" w:rsidRPr="00566FE9">
        <w:t xml:space="preserve"> </w:t>
      </w:r>
    </w:p>
    <w:p w14:paraId="7227C268" w14:textId="3CF034D0" w:rsidR="00FF0EBB" w:rsidRPr="00566FE9" w:rsidRDefault="00C811E9" w:rsidP="00C81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определении размера чрезвычайного взноса используется </w:t>
      </w:r>
      <w:r w:rsidR="00872405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годовой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обязательного календарного взноса, ежеквартально уплачиваемого банком-участником, без учета взноса за системный риск, в случае его отрицательного значения</w:t>
      </w:r>
      <w:r w:rsidR="009615A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DB651F" w14:textId="5D59152E" w:rsidR="00A14062" w:rsidRPr="00566FE9" w:rsidRDefault="00A14062" w:rsidP="00A14062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ab/>
        <w:t xml:space="preserve">В пункт 46 внесены изменения в соответствии с решением Совета директоров Фонда </w:t>
      </w:r>
      <w:r w:rsidR="00872405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от 14.02.2025 г. № 2, </w:t>
      </w:r>
      <w:r w:rsidR="00660A8B" w:rsidRPr="00660A8B">
        <w:rPr>
          <w:rFonts w:ascii="Times New Roman" w:hAnsi="Times New Roman" w:cs="Times New Roman"/>
          <w:i/>
          <w:color w:val="FF0000"/>
          <w:sz w:val="24"/>
          <w:szCs w:val="24"/>
        </w:rPr>
        <w:t>внесены изменения</w:t>
      </w:r>
      <w:r w:rsidR="00660A8B" w:rsidRPr="00660A8B" w:rsidDel="00660A8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872405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 соответствии с решением Совета директоров Фонда 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от 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4.02.202</w:t>
      </w:r>
      <w:r w:rsidR="00D61DDA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6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г. № 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4</w:t>
      </w:r>
      <w:r w:rsidR="000A7BF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внесены изменения в соответствии с решением Совета </w:t>
      </w:r>
      <w:r w:rsidR="00660A8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директоров Фонда </w:t>
      </w:r>
      <w:r w:rsidR="000A7BF0">
        <w:rPr>
          <w:rFonts w:ascii="Times New Roman" w:hAnsi="Times New Roman" w:cs="Times New Roman"/>
          <w:i/>
          <w:color w:val="FF0000"/>
          <w:sz w:val="24"/>
          <w:szCs w:val="24"/>
        </w:rPr>
        <w:t>от 31.03.2026</w:t>
      </w:r>
      <w:r w:rsidR="00660A8B">
        <w:rPr>
          <w:rFonts w:ascii="Times New Roman" w:hAnsi="Times New Roman" w:cs="Times New Roman"/>
          <w:i/>
          <w:color w:val="FF0000"/>
          <w:sz w:val="24"/>
          <w:szCs w:val="24"/>
        </w:rPr>
        <w:t>г.</w:t>
      </w:r>
      <w:r w:rsidR="000A7BF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№ 7</w:t>
      </w:r>
    </w:p>
    <w:p w14:paraId="6A695C35" w14:textId="2BB39ECB" w:rsidR="00FF0EBB" w:rsidRPr="00566FE9" w:rsidRDefault="000160BD" w:rsidP="00C811E9">
      <w:pPr>
        <w:pStyle w:val="aa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Фонд</w:t>
      </w:r>
      <w:r w:rsidR="009615A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уведомляет банка-участника в письменной форме с грифом «</w:t>
      </w:r>
      <w:r w:rsidR="00001C44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615A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онфиденциально»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установленных </w:t>
      </w:r>
      <w:r w:rsidR="009615A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размерах и сроках уплаты дополнительных и чрезвычайных взносов в течение трех рабочих дней со дня принятия соответствующего решения Советом директоров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Фонда</w:t>
      </w:r>
      <w:r w:rsidR="009615A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позднее, чем за пять рабочих дней до начала уплаты таких взносов.</w:t>
      </w:r>
    </w:p>
    <w:p w14:paraId="67035284" w14:textId="77777777" w:rsidR="00FF0EBB" w:rsidRPr="00566FE9" w:rsidRDefault="009615AC" w:rsidP="00605FB4">
      <w:pPr>
        <w:pStyle w:val="aa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дополнительных и чрезвычайных взносов не приостанавливает обязательств банков-участников по уплате взносов.</w:t>
      </w:r>
    </w:p>
    <w:p w14:paraId="05817610" w14:textId="77777777" w:rsidR="00FF0EBB" w:rsidRPr="00566FE9" w:rsidRDefault="009615AC" w:rsidP="00605FB4">
      <w:pPr>
        <w:pStyle w:val="aa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размерах дополнительных и чрезвычайных взносов является конфиденциальной и не подлежит разглашению </w:t>
      </w:r>
      <w:r w:rsidR="000160BD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Фондом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банками-участниками третьим лицам, за исключением случаев, предусмотренных законодательством Республики Казахстан и договором присоединения.</w:t>
      </w:r>
    </w:p>
    <w:p w14:paraId="529AEAB3" w14:textId="77777777" w:rsidR="005C5533" w:rsidRPr="00566FE9" w:rsidRDefault="009615AC" w:rsidP="00605FB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поступления сумм излишне уплаченных банком-участником дополнительных и чрезвычайных взносов, такие суммы подлежат зачету в счет предстоящих платежей </w:t>
      </w:r>
      <w:r w:rsidR="000160BD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взносам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банка-участника</w:t>
      </w:r>
      <w:r w:rsidR="005C5533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2AB949" w14:textId="77777777" w:rsidR="009615AC" w:rsidRPr="00566FE9" w:rsidRDefault="009615AC" w:rsidP="0085308F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12DA58" w14:textId="77777777" w:rsidR="00605FB4" w:rsidRPr="00566FE9" w:rsidRDefault="00605FB4" w:rsidP="0085308F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4F3DFC" w14:textId="77777777" w:rsidR="009615AC" w:rsidRPr="00566FE9" w:rsidRDefault="009615AC" w:rsidP="0085308F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4. Заключительные </w:t>
      </w:r>
      <w:r w:rsidR="004A6CE0" w:rsidRPr="00566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переходные </w:t>
      </w:r>
      <w:r w:rsidRPr="00566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положения</w:t>
      </w:r>
    </w:p>
    <w:p w14:paraId="7F9D543A" w14:textId="3804DC7B" w:rsidR="009615AC" w:rsidRPr="00566FE9" w:rsidRDefault="009615AC" w:rsidP="008530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2607CC64" w14:textId="5E540B56" w:rsidR="00A14062" w:rsidRPr="00566FE9" w:rsidRDefault="00A14062" w:rsidP="00E370F7">
      <w:pPr>
        <w:pStyle w:val="aa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 в соответствии с решением Совета директоров Фонда от 14.02.2025 г. № 2.</w:t>
      </w:r>
    </w:p>
    <w:p w14:paraId="5943C047" w14:textId="19868C26" w:rsidR="00A14062" w:rsidRPr="00566FE9" w:rsidRDefault="00A14062" w:rsidP="00E370F7">
      <w:pPr>
        <w:pStyle w:val="aa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 в соответствии с решением Совета директоров Фонда от 14.02.2025 г. № 2.</w:t>
      </w:r>
    </w:p>
    <w:p w14:paraId="4A9FF41D" w14:textId="4EB767CC" w:rsidR="00A85EA1" w:rsidRPr="00566FE9" w:rsidRDefault="00A85EA1" w:rsidP="00C5345E">
      <w:pPr>
        <w:pStyle w:val="a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Дополнен пунктом 50-1 в соответствии с решением Совета директоров Фонда от 05.11.2025 г. № 25</w:t>
      </w:r>
    </w:p>
    <w:p w14:paraId="59BB55CF" w14:textId="5BBBB1C7" w:rsidR="00C5345E" w:rsidRPr="00566FE9" w:rsidRDefault="00C5345E" w:rsidP="00C5345E">
      <w:pPr>
        <w:pStyle w:val="a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50-1. Правила подлежат обязательному пересмотру (ревизии) подразделением Фонда, ответственным за расчет размера обязательных календарных, дополнительных и чрезвычайных взносов, на предмет необходимости их актуализации не реже одного раза в год. По результатам пересмотра (ревизии) ответственное подразделение Фонда принимает решение о внесении или об отсутствии необходимости внесения правок в Правила.</w:t>
      </w:r>
    </w:p>
    <w:p w14:paraId="44AE4FC3" w14:textId="34FCEC4A" w:rsidR="00D84684" w:rsidRPr="00566FE9" w:rsidRDefault="00D84684" w:rsidP="00E370F7">
      <w:pPr>
        <w:pStyle w:val="aa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FE9">
        <w:rPr>
          <w:rFonts w:ascii="Times New Roman" w:hAnsi="Times New Roman" w:cs="Times New Roman"/>
          <w:sz w:val="24"/>
          <w:szCs w:val="24"/>
        </w:rPr>
        <w:t>Вопросы, неурегулированные Правилами, разрешаются в порядке, установленном законодательством Республики Казахстан и договором присоединения.</w:t>
      </w:r>
    </w:p>
    <w:sectPr w:rsidR="00D84684" w:rsidRPr="00566FE9" w:rsidSect="002726C9">
      <w:headerReference w:type="default" r:id="rId10"/>
      <w:footnotePr>
        <w:numRestart w:val="eachPage"/>
      </w:footnotePr>
      <w:pgSz w:w="11906" w:h="16838"/>
      <w:pgMar w:top="1418" w:right="851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C7E5D" w14:textId="77777777" w:rsidR="0098032C" w:rsidRDefault="0098032C" w:rsidP="009615AC">
      <w:pPr>
        <w:spacing w:after="0" w:line="240" w:lineRule="auto"/>
      </w:pPr>
      <w:r>
        <w:separator/>
      </w:r>
    </w:p>
  </w:endnote>
  <w:endnote w:type="continuationSeparator" w:id="0">
    <w:p w14:paraId="291B51E2" w14:textId="77777777" w:rsidR="0098032C" w:rsidRDefault="0098032C" w:rsidP="009615AC">
      <w:pPr>
        <w:spacing w:after="0" w:line="240" w:lineRule="auto"/>
      </w:pPr>
      <w:r>
        <w:continuationSeparator/>
      </w:r>
    </w:p>
  </w:endnote>
  <w:endnote w:type="continuationNotice" w:id="1">
    <w:p w14:paraId="473D49A2" w14:textId="77777777" w:rsidR="0098032C" w:rsidRDefault="009803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95404" w14:textId="77777777" w:rsidR="0098032C" w:rsidRDefault="0098032C" w:rsidP="009615AC">
      <w:pPr>
        <w:spacing w:after="0" w:line="240" w:lineRule="auto"/>
      </w:pPr>
      <w:r>
        <w:separator/>
      </w:r>
    </w:p>
  </w:footnote>
  <w:footnote w:type="continuationSeparator" w:id="0">
    <w:p w14:paraId="589D9EA6" w14:textId="77777777" w:rsidR="0098032C" w:rsidRDefault="0098032C" w:rsidP="009615AC">
      <w:pPr>
        <w:spacing w:after="0" w:line="240" w:lineRule="auto"/>
      </w:pPr>
      <w:r>
        <w:continuationSeparator/>
      </w:r>
    </w:p>
  </w:footnote>
  <w:footnote w:type="continuationNotice" w:id="1">
    <w:p w14:paraId="666DC13C" w14:textId="77777777" w:rsidR="0098032C" w:rsidRDefault="009803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29702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5F1154" w14:textId="345C0BD4" w:rsidR="002726C9" w:rsidRPr="002726C9" w:rsidRDefault="002726C9">
        <w:pPr>
          <w:pStyle w:val="af2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726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726C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726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3E05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2726C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F907C22" w14:textId="77777777" w:rsidR="002726C9" w:rsidRDefault="002726C9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4F6"/>
    <w:multiLevelType w:val="hybridMultilevel"/>
    <w:tmpl w:val="75DE3FBE"/>
    <w:lvl w:ilvl="0" w:tplc="D45ED02E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7005D7"/>
    <w:multiLevelType w:val="hybridMultilevel"/>
    <w:tmpl w:val="4CF2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201C4"/>
    <w:multiLevelType w:val="hybridMultilevel"/>
    <w:tmpl w:val="F7F88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C66FB"/>
    <w:multiLevelType w:val="hybridMultilevel"/>
    <w:tmpl w:val="AA3C37E2"/>
    <w:lvl w:ilvl="0" w:tplc="9BCEB60A">
      <w:start w:val="1"/>
      <w:numFmt w:val="decimal"/>
      <w:lvlText w:val="%1)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530CDF"/>
    <w:multiLevelType w:val="hybridMultilevel"/>
    <w:tmpl w:val="FFBC5C36"/>
    <w:lvl w:ilvl="0" w:tplc="2E96BD10">
      <w:start w:val="1"/>
      <w:numFmt w:val="decimal"/>
      <w:lvlText w:val="%1)"/>
      <w:lvlJc w:val="left"/>
      <w:pPr>
        <w:ind w:left="236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E3776DD"/>
    <w:multiLevelType w:val="hybridMultilevel"/>
    <w:tmpl w:val="B128F910"/>
    <w:lvl w:ilvl="0" w:tplc="CF7C86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8289A"/>
    <w:multiLevelType w:val="hybridMultilevel"/>
    <w:tmpl w:val="992A7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E43D1"/>
    <w:multiLevelType w:val="multilevel"/>
    <w:tmpl w:val="0B04D394"/>
    <w:lvl w:ilvl="0">
      <w:start w:val="2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25EF6B92"/>
    <w:multiLevelType w:val="hybridMultilevel"/>
    <w:tmpl w:val="5374DEA2"/>
    <w:lvl w:ilvl="0" w:tplc="E53E1CC0">
      <w:start w:val="1"/>
      <w:numFmt w:val="decimal"/>
      <w:lvlText w:val="%1)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194D36"/>
    <w:multiLevelType w:val="hybridMultilevel"/>
    <w:tmpl w:val="AD38C91E"/>
    <w:lvl w:ilvl="0" w:tplc="A5B22D00">
      <w:start w:val="1"/>
      <w:numFmt w:val="decimal"/>
      <w:lvlText w:val="%1)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B8B1256"/>
    <w:multiLevelType w:val="hybridMultilevel"/>
    <w:tmpl w:val="34A8593C"/>
    <w:lvl w:ilvl="0" w:tplc="544433CA">
      <w:start w:val="10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EDA7E0C"/>
    <w:multiLevelType w:val="hybridMultilevel"/>
    <w:tmpl w:val="D1287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F515F"/>
    <w:multiLevelType w:val="hybridMultilevel"/>
    <w:tmpl w:val="2E40C734"/>
    <w:lvl w:ilvl="0" w:tplc="012AFD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0F946BA"/>
    <w:multiLevelType w:val="hybridMultilevel"/>
    <w:tmpl w:val="5374DEA2"/>
    <w:lvl w:ilvl="0" w:tplc="E53E1CC0">
      <w:start w:val="1"/>
      <w:numFmt w:val="decimal"/>
      <w:lvlText w:val="%1)"/>
      <w:lvlJc w:val="left"/>
      <w:pPr>
        <w:ind w:left="2276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2033114"/>
    <w:multiLevelType w:val="multilevel"/>
    <w:tmpl w:val="0F8E01AE"/>
    <w:lvl w:ilvl="0">
      <w:start w:val="7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4217196"/>
    <w:multiLevelType w:val="hybridMultilevel"/>
    <w:tmpl w:val="7BD6407C"/>
    <w:lvl w:ilvl="0" w:tplc="5B309B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60E4B20"/>
    <w:multiLevelType w:val="hybridMultilevel"/>
    <w:tmpl w:val="86084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923F6"/>
    <w:multiLevelType w:val="hybridMultilevel"/>
    <w:tmpl w:val="C72C58F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B923F36">
      <w:start w:val="1"/>
      <w:numFmt w:val="decimal"/>
      <w:lvlText w:val="%2)"/>
      <w:lvlJc w:val="left"/>
      <w:pPr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E0C94"/>
    <w:multiLevelType w:val="hybridMultilevel"/>
    <w:tmpl w:val="B576F5E0"/>
    <w:lvl w:ilvl="0" w:tplc="0419000F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</w:lvl>
    <w:lvl w:ilvl="1" w:tplc="AFBC4C36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1E5650"/>
    <w:multiLevelType w:val="hybridMultilevel"/>
    <w:tmpl w:val="21B0DD64"/>
    <w:lvl w:ilvl="0" w:tplc="4826512A">
      <w:start w:val="1"/>
      <w:numFmt w:val="decimal"/>
      <w:lvlText w:val="%1)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142298C"/>
    <w:multiLevelType w:val="hybridMultilevel"/>
    <w:tmpl w:val="11EE231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3CE44E4"/>
    <w:multiLevelType w:val="hybridMultilevel"/>
    <w:tmpl w:val="603AF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15217"/>
    <w:multiLevelType w:val="hybridMultilevel"/>
    <w:tmpl w:val="4E9ABDCC"/>
    <w:lvl w:ilvl="0" w:tplc="45F670F8">
      <w:start w:val="2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B10F45"/>
    <w:multiLevelType w:val="hybridMultilevel"/>
    <w:tmpl w:val="D5907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86C92"/>
    <w:multiLevelType w:val="hybridMultilevel"/>
    <w:tmpl w:val="F80C9200"/>
    <w:lvl w:ilvl="0" w:tplc="85323FEE">
      <w:start w:val="10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3B96EAE"/>
    <w:multiLevelType w:val="hybridMultilevel"/>
    <w:tmpl w:val="19D6A740"/>
    <w:lvl w:ilvl="0" w:tplc="3C8C1B0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2E96BD10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0067E1"/>
    <w:multiLevelType w:val="hybridMultilevel"/>
    <w:tmpl w:val="394C8852"/>
    <w:lvl w:ilvl="0" w:tplc="2000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A3733"/>
    <w:multiLevelType w:val="hybridMultilevel"/>
    <w:tmpl w:val="CD782FA4"/>
    <w:lvl w:ilvl="0" w:tplc="3C8C1B08">
      <w:start w:val="11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77A1372"/>
    <w:multiLevelType w:val="hybridMultilevel"/>
    <w:tmpl w:val="FF5CFDE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5F5834"/>
    <w:multiLevelType w:val="hybridMultilevel"/>
    <w:tmpl w:val="C17408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41CC8"/>
    <w:multiLevelType w:val="hybridMultilevel"/>
    <w:tmpl w:val="B5785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0557E"/>
    <w:multiLevelType w:val="hybridMultilevel"/>
    <w:tmpl w:val="F0547366"/>
    <w:lvl w:ilvl="0" w:tplc="866410F4">
      <w:start w:val="4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9634F454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8147D"/>
    <w:multiLevelType w:val="multilevel"/>
    <w:tmpl w:val="0B04D394"/>
    <w:lvl w:ilvl="0">
      <w:start w:val="2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 w15:restartNumberingAfterBreak="0">
    <w:nsid w:val="7783306A"/>
    <w:multiLevelType w:val="hybridMultilevel"/>
    <w:tmpl w:val="405A297C"/>
    <w:lvl w:ilvl="0" w:tplc="7820BF3E">
      <w:start w:val="1"/>
      <w:numFmt w:val="decimal"/>
      <w:lvlText w:val="%1)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AB844D8"/>
    <w:multiLevelType w:val="hybridMultilevel"/>
    <w:tmpl w:val="63A8B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945636"/>
    <w:multiLevelType w:val="multilevel"/>
    <w:tmpl w:val="0B04D394"/>
    <w:lvl w:ilvl="0">
      <w:start w:val="2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7F372958"/>
    <w:multiLevelType w:val="hybridMultilevel"/>
    <w:tmpl w:val="94E828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8"/>
  </w:num>
  <w:num w:numId="3">
    <w:abstractNumId w:val="17"/>
  </w:num>
  <w:num w:numId="4">
    <w:abstractNumId w:val="6"/>
  </w:num>
  <w:num w:numId="5">
    <w:abstractNumId w:val="20"/>
  </w:num>
  <w:num w:numId="6">
    <w:abstractNumId w:val="1"/>
  </w:num>
  <w:num w:numId="7">
    <w:abstractNumId w:val="2"/>
  </w:num>
  <w:num w:numId="8">
    <w:abstractNumId w:val="16"/>
  </w:num>
  <w:num w:numId="9">
    <w:abstractNumId w:val="21"/>
  </w:num>
  <w:num w:numId="10">
    <w:abstractNumId w:val="30"/>
  </w:num>
  <w:num w:numId="11">
    <w:abstractNumId w:val="23"/>
  </w:num>
  <w:num w:numId="12">
    <w:abstractNumId w:val="19"/>
  </w:num>
  <w:num w:numId="13">
    <w:abstractNumId w:val="29"/>
  </w:num>
  <w:num w:numId="14">
    <w:abstractNumId w:val="34"/>
  </w:num>
  <w:num w:numId="15">
    <w:abstractNumId w:val="12"/>
  </w:num>
  <w:num w:numId="16">
    <w:abstractNumId w:val="28"/>
  </w:num>
  <w:num w:numId="17">
    <w:abstractNumId w:val="36"/>
  </w:num>
  <w:num w:numId="18">
    <w:abstractNumId w:val="5"/>
  </w:num>
  <w:num w:numId="19">
    <w:abstractNumId w:val="10"/>
  </w:num>
  <w:num w:numId="20">
    <w:abstractNumId w:val="11"/>
  </w:num>
  <w:num w:numId="21">
    <w:abstractNumId w:val="15"/>
  </w:num>
  <w:num w:numId="22">
    <w:abstractNumId w:val="7"/>
  </w:num>
  <w:num w:numId="23">
    <w:abstractNumId w:val="0"/>
  </w:num>
  <w:num w:numId="24">
    <w:abstractNumId w:val="14"/>
  </w:num>
  <w:num w:numId="25">
    <w:abstractNumId w:val="9"/>
  </w:num>
  <w:num w:numId="26">
    <w:abstractNumId w:val="25"/>
  </w:num>
  <w:num w:numId="27">
    <w:abstractNumId w:val="3"/>
  </w:num>
  <w:num w:numId="28">
    <w:abstractNumId w:val="33"/>
  </w:num>
  <w:num w:numId="29">
    <w:abstractNumId w:val="13"/>
  </w:num>
  <w:num w:numId="30">
    <w:abstractNumId w:val="31"/>
  </w:num>
  <w:num w:numId="31">
    <w:abstractNumId w:val="4"/>
  </w:num>
  <w:num w:numId="32">
    <w:abstractNumId w:val="27"/>
  </w:num>
  <w:num w:numId="33">
    <w:abstractNumId w:val="24"/>
  </w:num>
  <w:num w:numId="34">
    <w:abstractNumId w:val="8"/>
  </w:num>
  <w:num w:numId="35">
    <w:abstractNumId w:val="32"/>
  </w:num>
  <w:num w:numId="36">
    <w:abstractNumId w:val="35"/>
  </w:num>
  <w:num w:numId="37">
    <w:abstractNumId w:val="22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7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141"/>
  <w:characterSpacingControl w:val="doNotCompress"/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AF5"/>
    <w:rsid w:val="00000C3D"/>
    <w:rsid w:val="00001C44"/>
    <w:rsid w:val="00007032"/>
    <w:rsid w:val="000076B0"/>
    <w:rsid w:val="0001053E"/>
    <w:rsid w:val="0001245F"/>
    <w:rsid w:val="00015461"/>
    <w:rsid w:val="000160BD"/>
    <w:rsid w:val="000175DF"/>
    <w:rsid w:val="0002401F"/>
    <w:rsid w:val="000260D5"/>
    <w:rsid w:val="00036E20"/>
    <w:rsid w:val="000426AD"/>
    <w:rsid w:val="00042FA9"/>
    <w:rsid w:val="00053358"/>
    <w:rsid w:val="00054F77"/>
    <w:rsid w:val="00055839"/>
    <w:rsid w:val="00056168"/>
    <w:rsid w:val="0005723F"/>
    <w:rsid w:val="00067165"/>
    <w:rsid w:val="00085493"/>
    <w:rsid w:val="00086BA2"/>
    <w:rsid w:val="0009249A"/>
    <w:rsid w:val="00094FC2"/>
    <w:rsid w:val="000955E3"/>
    <w:rsid w:val="00097E80"/>
    <w:rsid w:val="000A4186"/>
    <w:rsid w:val="000A4843"/>
    <w:rsid w:val="000A509F"/>
    <w:rsid w:val="000A7BF0"/>
    <w:rsid w:val="000B46C9"/>
    <w:rsid w:val="000B6B2F"/>
    <w:rsid w:val="000B7E3A"/>
    <w:rsid w:val="000C0821"/>
    <w:rsid w:val="000C27F0"/>
    <w:rsid w:val="000C2C87"/>
    <w:rsid w:val="000C5F5C"/>
    <w:rsid w:val="000D1F43"/>
    <w:rsid w:val="000D2E8E"/>
    <w:rsid w:val="000D3E8E"/>
    <w:rsid w:val="000D7FA3"/>
    <w:rsid w:val="000E0DDD"/>
    <w:rsid w:val="000E7048"/>
    <w:rsid w:val="000F0814"/>
    <w:rsid w:val="000F0BB3"/>
    <w:rsid w:val="000F11FA"/>
    <w:rsid w:val="000F1797"/>
    <w:rsid w:val="000F4A21"/>
    <w:rsid w:val="000F5FF7"/>
    <w:rsid w:val="000F62E0"/>
    <w:rsid w:val="0010171C"/>
    <w:rsid w:val="001069B9"/>
    <w:rsid w:val="0011258A"/>
    <w:rsid w:val="001135A1"/>
    <w:rsid w:val="00115F27"/>
    <w:rsid w:val="001167B4"/>
    <w:rsid w:val="00120186"/>
    <w:rsid w:val="0013073C"/>
    <w:rsid w:val="001419A2"/>
    <w:rsid w:val="001461F1"/>
    <w:rsid w:val="00152BB1"/>
    <w:rsid w:val="0016488E"/>
    <w:rsid w:val="00170186"/>
    <w:rsid w:val="00170F94"/>
    <w:rsid w:val="00175693"/>
    <w:rsid w:val="001801D2"/>
    <w:rsid w:val="00185192"/>
    <w:rsid w:val="00187F21"/>
    <w:rsid w:val="001904DC"/>
    <w:rsid w:val="001A26D0"/>
    <w:rsid w:val="001A78BC"/>
    <w:rsid w:val="001A7D45"/>
    <w:rsid w:val="001B4F7E"/>
    <w:rsid w:val="001B55DB"/>
    <w:rsid w:val="001C12E1"/>
    <w:rsid w:val="001C1E9D"/>
    <w:rsid w:val="001C5C09"/>
    <w:rsid w:val="001C5F33"/>
    <w:rsid w:val="001C78E5"/>
    <w:rsid w:val="001C7FE6"/>
    <w:rsid w:val="001D0A29"/>
    <w:rsid w:val="001D110E"/>
    <w:rsid w:val="001D38BD"/>
    <w:rsid w:val="001D71A0"/>
    <w:rsid w:val="001E45A0"/>
    <w:rsid w:val="001E61F2"/>
    <w:rsid w:val="001F0258"/>
    <w:rsid w:val="001F4597"/>
    <w:rsid w:val="001F5047"/>
    <w:rsid w:val="001F708F"/>
    <w:rsid w:val="001F7D65"/>
    <w:rsid w:val="001F7E35"/>
    <w:rsid w:val="00210358"/>
    <w:rsid w:val="002116D6"/>
    <w:rsid w:val="002120F0"/>
    <w:rsid w:val="00212EE9"/>
    <w:rsid w:val="00216C6E"/>
    <w:rsid w:val="0022022F"/>
    <w:rsid w:val="00221811"/>
    <w:rsid w:val="00222D5E"/>
    <w:rsid w:val="00232389"/>
    <w:rsid w:val="00232DFD"/>
    <w:rsid w:val="00234956"/>
    <w:rsid w:val="0023544E"/>
    <w:rsid w:val="00240EED"/>
    <w:rsid w:val="00241AB7"/>
    <w:rsid w:val="00244058"/>
    <w:rsid w:val="00244982"/>
    <w:rsid w:val="00246AEA"/>
    <w:rsid w:val="002515B6"/>
    <w:rsid w:val="002522BD"/>
    <w:rsid w:val="002535BF"/>
    <w:rsid w:val="00253A6A"/>
    <w:rsid w:val="00254234"/>
    <w:rsid w:val="002578EF"/>
    <w:rsid w:val="00262E3C"/>
    <w:rsid w:val="002634E8"/>
    <w:rsid w:val="00271779"/>
    <w:rsid w:val="002726C9"/>
    <w:rsid w:val="00274AB6"/>
    <w:rsid w:val="00280355"/>
    <w:rsid w:val="00281F93"/>
    <w:rsid w:val="002839AB"/>
    <w:rsid w:val="00294027"/>
    <w:rsid w:val="00294E2E"/>
    <w:rsid w:val="00294FE5"/>
    <w:rsid w:val="00295977"/>
    <w:rsid w:val="00296EA7"/>
    <w:rsid w:val="002A454A"/>
    <w:rsid w:val="002A4C0A"/>
    <w:rsid w:val="002B6B95"/>
    <w:rsid w:val="002C22A0"/>
    <w:rsid w:val="002D18DC"/>
    <w:rsid w:val="002D6542"/>
    <w:rsid w:val="002E0D33"/>
    <w:rsid w:val="002E2EF4"/>
    <w:rsid w:val="002E40A7"/>
    <w:rsid w:val="002F0CC2"/>
    <w:rsid w:val="002F1003"/>
    <w:rsid w:val="00301D3E"/>
    <w:rsid w:val="003029A7"/>
    <w:rsid w:val="00310522"/>
    <w:rsid w:val="00313FEC"/>
    <w:rsid w:val="00320165"/>
    <w:rsid w:val="00324B8A"/>
    <w:rsid w:val="00330290"/>
    <w:rsid w:val="003337E8"/>
    <w:rsid w:val="00333C61"/>
    <w:rsid w:val="00334BAB"/>
    <w:rsid w:val="003353F1"/>
    <w:rsid w:val="00335D66"/>
    <w:rsid w:val="0033781F"/>
    <w:rsid w:val="00347FF9"/>
    <w:rsid w:val="0035162E"/>
    <w:rsid w:val="00353DD1"/>
    <w:rsid w:val="003541B9"/>
    <w:rsid w:val="003548AB"/>
    <w:rsid w:val="00356B48"/>
    <w:rsid w:val="0035769F"/>
    <w:rsid w:val="00365752"/>
    <w:rsid w:val="00372C95"/>
    <w:rsid w:val="003730CB"/>
    <w:rsid w:val="00386A1B"/>
    <w:rsid w:val="00391645"/>
    <w:rsid w:val="003A03B0"/>
    <w:rsid w:val="003A131C"/>
    <w:rsid w:val="003A27A5"/>
    <w:rsid w:val="003A3EE3"/>
    <w:rsid w:val="003A48B1"/>
    <w:rsid w:val="003A545B"/>
    <w:rsid w:val="003B0AA8"/>
    <w:rsid w:val="003B232C"/>
    <w:rsid w:val="003B2768"/>
    <w:rsid w:val="003B3B3D"/>
    <w:rsid w:val="003B3E56"/>
    <w:rsid w:val="003C223A"/>
    <w:rsid w:val="003C60FB"/>
    <w:rsid w:val="003D7266"/>
    <w:rsid w:val="003E2965"/>
    <w:rsid w:val="003E31AE"/>
    <w:rsid w:val="003E3A49"/>
    <w:rsid w:val="003E4982"/>
    <w:rsid w:val="003E5816"/>
    <w:rsid w:val="003E61B1"/>
    <w:rsid w:val="003E63FE"/>
    <w:rsid w:val="003E6D48"/>
    <w:rsid w:val="00404F2D"/>
    <w:rsid w:val="00413AB7"/>
    <w:rsid w:val="00414BD4"/>
    <w:rsid w:val="004168A3"/>
    <w:rsid w:val="00421B99"/>
    <w:rsid w:val="004238EC"/>
    <w:rsid w:val="0042551D"/>
    <w:rsid w:val="00430BD8"/>
    <w:rsid w:val="00433B47"/>
    <w:rsid w:val="00440C31"/>
    <w:rsid w:val="00443147"/>
    <w:rsid w:val="004555E3"/>
    <w:rsid w:val="00456C59"/>
    <w:rsid w:val="00461C84"/>
    <w:rsid w:val="00463C49"/>
    <w:rsid w:val="00471A1D"/>
    <w:rsid w:val="004736AA"/>
    <w:rsid w:val="0047443E"/>
    <w:rsid w:val="0047625D"/>
    <w:rsid w:val="0047668E"/>
    <w:rsid w:val="0048393A"/>
    <w:rsid w:val="00490F84"/>
    <w:rsid w:val="004974D0"/>
    <w:rsid w:val="004A1CDF"/>
    <w:rsid w:val="004A3B50"/>
    <w:rsid w:val="004A534C"/>
    <w:rsid w:val="004A6CE0"/>
    <w:rsid w:val="004B53F7"/>
    <w:rsid w:val="004B6C0B"/>
    <w:rsid w:val="004C6202"/>
    <w:rsid w:val="004D00EE"/>
    <w:rsid w:val="004D01B8"/>
    <w:rsid w:val="004E00A0"/>
    <w:rsid w:val="004E24DE"/>
    <w:rsid w:val="004F0BDC"/>
    <w:rsid w:val="00515805"/>
    <w:rsid w:val="00516BC5"/>
    <w:rsid w:val="00517798"/>
    <w:rsid w:val="0051798D"/>
    <w:rsid w:val="005211CC"/>
    <w:rsid w:val="00524D38"/>
    <w:rsid w:val="00525BF1"/>
    <w:rsid w:val="00530D53"/>
    <w:rsid w:val="005317CC"/>
    <w:rsid w:val="005339A5"/>
    <w:rsid w:val="0053585E"/>
    <w:rsid w:val="00542A9C"/>
    <w:rsid w:val="00551A49"/>
    <w:rsid w:val="005521D8"/>
    <w:rsid w:val="005525B9"/>
    <w:rsid w:val="005531BF"/>
    <w:rsid w:val="005612AD"/>
    <w:rsid w:val="00562A7D"/>
    <w:rsid w:val="005639D2"/>
    <w:rsid w:val="00563FF3"/>
    <w:rsid w:val="005643AB"/>
    <w:rsid w:val="00565937"/>
    <w:rsid w:val="00565AF2"/>
    <w:rsid w:val="00566193"/>
    <w:rsid w:val="00566FE9"/>
    <w:rsid w:val="005712F2"/>
    <w:rsid w:val="00572290"/>
    <w:rsid w:val="0057338B"/>
    <w:rsid w:val="00574276"/>
    <w:rsid w:val="00574A34"/>
    <w:rsid w:val="0057685E"/>
    <w:rsid w:val="00583284"/>
    <w:rsid w:val="00584904"/>
    <w:rsid w:val="00586AE7"/>
    <w:rsid w:val="00590953"/>
    <w:rsid w:val="00591F19"/>
    <w:rsid w:val="005A1A39"/>
    <w:rsid w:val="005A1A6C"/>
    <w:rsid w:val="005A1C97"/>
    <w:rsid w:val="005A32EC"/>
    <w:rsid w:val="005A52B3"/>
    <w:rsid w:val="005B6032"/>
    <w:rsid w:val="005C4805"/>
    <w:rsid w:val="005C4B00"/>
    <w:rsid w:val="005C4D70"/>
    <w:rsid w:val="005C5533"/>
    <w:rsid w:val="005C5FA1"/>
    <w:rsid w:val="005C7A44"/>
    <w:rsid w:val="005D281C"/>
    <w:rsid w:val="005D30F5"/>
    <w:rsid w:val="005D7101"/>
    <w:rsid w:val="005D7CD3"/>
    <w:rsid w:val="005D7FDD"/>
    <w:rsid w:val="005E556A"/>
    <w:rsid w:val="005E7E30"/>
    <w:rsid w:val="005F0933"/>
    <w:rsid w:val="005F15D9"/>
    <w:rsid w:val="005F1EF8"/>
    <w:rsid w:val="005F3F06"/>
    <w:rsid w:val="00601AAC"/>
    <w:rsid w:val="00603B81"/>
    <w:rsid w:val="00605F29"/>
    <w:rsid w:val="00605FB4"/>
    <w:rsid w:val="00607F2C"/>
    <w:rsid w:val="00610508"/>
    <w:rsid w:val="00613189"/>
    <w:rsid w:val="00614D98"/>
    <w:rsid w:val="00625921"/>
    <w:rsid w:val="00626CA5"/>
    <w:rsid w:val="00633031"/>
    <w:rsid w:val="006425D9"/>
    <w:rsid w:val="006425ED"/>
    <w:rsid w:val="0064636E"/>
    <w:rsid w:val="00646750"/>
    <w:rsid w:val="00646AF5"/>
    <w:rsid w:val="006531E1"/>
    <w:rsid w:val="0065406F"/>
    <w:rsid w:val="006544F9"/>
    <w:rsid w:val="00654CA3"/>
    <w:rsid w:val="00660A8B"/>
    <w:rsid w:val="006667ED"/>
    <w:rsid w:val="006731DE"/>
    <w:rsid w:val="006820EB"/>
    <w:rsid w:val="00686594"/>
    <w:rsid w:val="00690166"/>
    <w:rsid w:val="006938B8"/>
    <w:rsid w:val="00693BC5"/>
    <w:rsid w:val="00694549"/>
    <w:rsid w:val="006A1350"/>
    <w:rsid w:val="006A2841"/>
    <w:rsid w:val="006A49D6"/>
    <w:rsid w:val="006A5233"/>
    <w:rsid w:val="006A79AB"/>
    <w:rsid w:val="006B000B"/>
    <w:rsid w:val="006B1C7D"/>
    <w:rsid w:val="006B2687"/>
    <w:rsid w:val="006B6522"/>
    <w:rsid w:val="006C3565"/>
    <w:rsid w:val="006C4F6E"/>
    <w:rsid w:val="006D02EB"/>
    <w:rsid w:val="006D07A3"/>
    <w:rsid w:val="006E0B8D"/>
    <w:rsid w:val="006E199B"/>
    <w:rsid w:val="006E19BB"/>
    <w:rsid w:val="006E1F96"/>
    <w:rsid w:val="006E40BA"/>
    <w:rsid w:val="006F0BE3"/>
    <w:rsid w:val="006F3900"/>
    <w:rsid w:val="00701F0E"/>
    <w:rsid w:val="007071CB"/>
    <w:rsid w:val="00710A96"/>
    <w:rsid w:val="00711432"/>
    <w:rsid w:val="00724F2D"/>
    <w:rsid w:val="007300E5"/>
    <w:rsid w:val="00734719"/>
    <w:rsid w:val="00743EC4"/>
    <w:rsid w:val="00744207"/>
    <w:rsid w:val="007508E6"/>
    <w:rsid w:val="00755E26"/>
    <w:rsid w:val="00757190"/>
    <w:rsid w:val="00765FE5"/>
    <w:rsid w:val="0076711B"/>
    <w:rsid w:val="00771979"/>
    <w:rsid w:val="00772FA0"/>
    <w:rsid w:val="00773FE4"/>
    <w:rsid w:val="007753FD"/>
    <w:rsid w:val="00780C4B"/>
    <w:rsid w:val="00782F0D"/>
    <w:rsid w:val="00787E75"/>
    <w:rsid w:val="007916FC"/>
    <w:rsid w:val="00794B14"/>
    <w:rsid w:val="00796A19"/>
    <w:rsid w:val="007A0646"/>
    <w:rsid w:val="007A6178"/>
    <w:rsid w:val="007A754C"/>
    <w:rsid w:val="007B253C"/>
    <w:rsid w:val="007B6D2A"/>
    <w:rsid w:val="007C0D10"/>
    <w:rsid w:val="007C32FB"/>
    <w:rsid w:val="007C55E3"/>
    <w:rsid w:val="007D019A"/>
    <w:rsid w:val="007D1846"/>
    <w:rsid w:val="007D4265"/>
    <w:rsid w:val="007D52EE"/>
    <w:rsid w:val="007E0D32"/>
    <w:rsid w:val="007E304C"/>
    <w:rsid w:val="007E3E50"/>
    <w:rsid w:val="007F153B"/>
    <w:rsid w:val="007F24D8"/>
    <w:rsid w:val="007F3E05"/>
    <w:rsid w:val="007F63DE"/>
    <w:rsid w:val="008007B9"/>
    <w:rsid w:val="00801379"/>
    <w:rsid w:val="00802504"/>
    <w:rsid w:val="008034D3"/>
    <w:rsid w:val="008041CF"/>
    <w:rsid w:val="00804725"/>
    <w:rsid w:val="00804746"/>
    <w:rsid w:val="008100D7"/>
    <w:rsid w:val="008131A7"/>
    <w:rsid w:val="008203F2"/>
    <w:rsid w:val="00826A25"/>
    <w:rsid w:val="0083275E"/>
    <w:rsid w:val="00833BD8"/>
    <w:rsid w:val="008350E6"/>
    <w:rsid w:val="008400B6"/>
    <w:rsid w:val="00843B7B"/>
    <w:rsid w:val="00844B82"/>
    <w:rsid w:val="00846D95"/>
    <w:rsid w:val="0085265E"/>
    <w:rsid w:val="0085308F"/>
    <w:rsid w:val="00855762"/>
    <w:rsid w:val="0086057D"/>
    <w:rsid w:val="0086182B"/>
    <w:rsid w:val="00862FF0"/>
    <w:rsid w:val="00864B41"/>
    <w:rsid w:val="00867DFA"/>
    <w:rsid w:val="00872405"/>
    <w:rsid w:val="00873C75"/>
    <w:rsid w:val="008741A5"/>
    <w:rsid w:val="00874E8E"/>
    <w:rsid w:val="00875EE8"/>
    <w:rsid w:val="00877F9A"/>
    <w:rsid w:val="00881AB2"/>
    <w:rsid w:val="00882061"/>
    <w:rsid w:val="00882138"/>
    <w:rsid w:val="00882D07"/>
    <w:rsid w:val="00886062"/>
    <w:rsid w:val="00887F87"/>
    <w:rsid w:val="008940D1"/>
    <w:rsid w:val="00897C49"/>
    <w:rsid w:val="008A0ECD"/>
    <w:rsid w:val="008A3E9F"/>
    <w:rsid w:val="008B1AC1"/>
    <w:rsid w:val="008C097B"/>
    <w:rsid w:val="008C264E"/>
    <w:rsid w:val="008C3D92"/>
    <w:rsid w:val="008C6C8D"/>
    <w:rsid w:val="008D1545"/>
    <w:rsid w:val="008D24DD"/>
    <w:rsid w:val="008D37CE"/>
    <w:rsid w:val="008D45A7"/>
    <w:rsid w:val="008D6A8A"/>
    <w:rsid w:val="008D6CEE"/>
    <w:rsid w:val="008E70E0"/>
    <w:rsid w:val="009011FC"/>
    <w:rsid w:val="00905175"/>
    <w:rsid w:val="00906FF3"/>
    <w:rsid w:val="00911614"/>
    <w:rsid w:val="00912D5F"/>
    <w:rsid w:val="00915E41"/>
    <w:rsid w:val="009216B4"/>
    <w:rsid w:val="009231AA"/>
    <w:rsid w:val="0092635D"/>
    <w:rsid w:val="00930DDE"/>
    <w:rsid w:val="00933524"/>
    <w:rsid w:val="009418E7"/>
    <w:rsid w:val="00944003"/>
    <w:rsid w:val="0094488B"/>
    <w:rsid w:val="0094711D"/>
    <w:rsid w:val="009502CC"/>
    <w:rsid w:val="009535F6"/>
    <w:rsid w:val="0095769C"/>
    <w:rsid w:val="0095770F"/>
    <w:rsid w:val="00960971"/>
    <w:rsid w:val="009615AC"/>
    <w:rsid w:val="00964728"/>
    <w:rsid w:val="00966307"/>
    <w:rsid w:val="0097494D"/>
    <w:rsid w:val="00975074"/>
    <w:rsid w:val="0097686D"/>
    <w:rsid w:val="0098032C"/>
    <w:rsid w:val="00981FF9"/>
    <w:rsid w:val="009839DD"/>
    <w:rsid w:val="0098666E"/>
    <w:rsid w:val="00990A09"/>
    <w:rsid w:val="00992BA0"/>
    <w:rsid w:val="00994474"/>
    <w:rsid w:val="009A341F"/>
    <w:rsid w:val="009B4637"/>
    <w:rsid w:val="009B4A12"/>
    <w:rsid w:val="009B6BBD"/>
    <w:rsid w:val="009B7291"/>
    <w:rsid w:val="009C1B41"/>
    <w:rsid w:val="009C71C9"/>
    <w:rsid w:val="009C763E"/>
    <w:rsid w:val="009D4786"/>
    <w:rsid w:val="009D7CDC"/>
    <w:rsid w:val="009E2918"/>
    <w:rsid w:val="009E3FFF"/>
    <w:rsid w:val="009E6598"/>
    <w:rsid w:val="009F1F15"/>
    <w:rsid w:val="009F37D2"/>
    <w:rsid w:val="009F6151"/>
    <w:rsid w:val="009F61BE"/>
    <w:rsid w:val="009F70F8"/>
    <w:rsid w:val="00A0166C"/>
    <w:rsid w:val="00A04C4D"/>
    <w:rsid w:val="00A0609C"/>
    <w:rsid w:val="00A07E01"/>
    <w:rsid w:val="00A10507"/>
    <w:rsid w:val="00A11CB6"/>
    <w:rsid w:val="00A127D9"/>
    <w:rsid w:val="00A14062"/>
    <w:rsid w:val="00A147D4"/>
    <w:rsid w:val="00A17806"/>
    <w:rsid w:val="00A20A7A"/>
    <w:rsid w:val="00A30D7B"/>
    <w:rsid w:val="00A3178E"/>
    <w:rsid w:val="00A3193C"/>
    <w:rsid w:val="00A33BAF"/>
    <w:rsid w:val="00A351A9"/>
    <w:rsid w:val="00A363C4"/>
    <w:rsid w:val="00A375B2"/>
    <w:rsid w:val="00A423A6"/>
    <w:rsid w:val="00A42A30"/>
    <w:rsid w:val="00A44F1E"/>
    <w:rsid w:val="00A52C12"/>
    <w:rsid w:val="00A61A60"/>
    <w:rsid w:val="00A62666"/>
    <w:rsid w:val="00A66AD4"/>
    <w:rsid w:val="00A75F8B"/>
    <w:rsid w:val="00A773B0"/>
    <w:rsid w:val="00A85EA1"/>
    <w:rsid w:val="00A934BE"/>
    <w:rsid w:val="00A95831"/>
    <w:rsid w:val="00AA0561"/>
    <w:rsid w:val="00AA7A20"/>
    <w:rsid w:val="00AA7CDB"/>
    <w:rsid w:val="00AA7F8A"/>
    <w:rsid w:val="00AB5057"/>
    <w:rsid w:val="00AB5809"/>
    <w:rsid w:val="00AC1E15"/>
    <w:rsid w:val="00AC417D"/>
    <w:rsid w:val="00AC5D4B"/>
    <w:rsid w:val="00AC6CDE"/>
    <w:rsid w:val="00AC72B7"/>
    <w:rsid w:val="00AC7558"/>
    <w:rsid w:val="00AD0081"/>
    <w:rsid w:val="00AD01DA"/>
    <w:rsid w:val="00AD4DE5"/>
    <w:rsid w:val="00AD504C"/>
    <w:rsid w:val="00AD5C9F"/>
    <w:rsid w:val="00AE232E"/>
    <w:rsid w:val="00AE6940"/>
    <w:rsid w:val="00AF2759"/>
    <w:rsid w:val="00AF5C9E"/>
    <w:rsid w:val="00AF5FD3"/>
    <w:rsid w:val="00AF6065"/>
    <w:rsid w:val="00AF7821"/>
    <w:rsid w:val="00B00A89"/>
    <w:rsid w:val="00B01160"/>
    <w:rsid w:val="00B034C7"/>
    <w:rsid w:val="00B04615"/>
    <w:rsid w:val="00B2267D"/>
    <w:rsid w:val="00B25505"/>
    <w:rsid w:val="00B26AC3"/>
    <w:rsid w:val="00B26CDA"/>
    <w:rsid w:val="00B30425"/>
    <w:rsid w:val="00B364A6"/>
    <w:rsid w:val="00B5783C"/>
    <w:rsid w:val="00B60A29"/>
    <w:rsid w:val="00B64E05"/>
    <w:rsid w:val="00B64E16"/>
    <w:rsid w:val="00B6676D"/>
    <w:rsid w:val="00B743FE"/>
    <w:rsid w:val="00B81337"/>
    <w:rsid w:val="00B87D7B"/>
    <w:rsid w:val="00B92381"/>
    <w:rsid w:val="00B92711"/>
    <w:rsid w:val="00B927FC"/>
    <w:rsid w:val="00B93610"/>
    <w:rsid w:val="00B95CE0"/>
    <w:rsid w:val="00B97D75"/>
    <w:rsid w:val="00BB1103"/>
    <w:rsid w:val="00BB635C"/>
    <w:rsid w:val="00BC2740"/>
    <w:rsid w:val="00BC38C1"/>
    <w:rsid w:val="00BD0D34"/>
    <w:rsid w:val="00BD4F0F"/>
    <w:rsid w:val="00BD6DB4"/>
    <w:rsid w:val="00BD6E1B"/>
    <w:rsid w:val="00BD7BA1"/>
    <w:rsid w:val="00BE7A80"/>
    <w:rsid w:val="00BF2D83"/>
    <w:rsid w:val="00BF55F1"/>
    <w:rsid w:val="00BF59D7"/>
    <w:rsid w:val="00C056CC"/>
    <w:rsid w:val="00C17884"/>
    <w:rsid w:val="00C205E1"/>
    <w:rsid w:val="00C20C4D"/>
    <w:rsid w:val="00C21735"/>
    <w:rsid w:val="00C21FBB"/>
    <w:rsid w:val="00C24A6B"/>
    <w:rsid w:val="00C254C1"/>
    <w:rsid w:val="00C3079E"/>
    <w:rsid w:val="00C31311"/>
    <w:rsid w:val="00C412CF"/>
    <w:rsid w:val="00C4315F"/>
    <w:rsid w:val="00C46BF5"/>
    <w:rsid w:val="00C50628"/>
    <w:rsid w:val="00C518C5"/>
    <w:rsid w:val="00C5345E"/>
    <w:rsid w:val="00C5433F"/>
    <w:rsid w:val="00C61EE3"/>
    <w:rsid w:val="00C635E2"/>
    <w:rsid w:val="00C63E47"/>
    <w:rsid w:val="00C7013F"/>
    <w:rsid w:val="00C75E30"/>
    <w:rsid w:val="00C77EFE"/>
    <w:rsid w:val="00C80F5C"/>
    <w:rsid w:val="00C811E9"/>
    <w:rsid w:val="00C82CD4"/>
    <w:rsid w:val="00C83802"/>
    <w:rsid w:val="00C83C38"/>
    <w:rsid w:val="00C83EBC"/>
    <w:rsid w:val="00C864FC"/>
    <w:rsid w:val="00C872AE"/>
    <w:rsid w:val="00C952BB"/>
    <w:rsid w:val="00C95C95"/>
    <w:rsid w:val="00C961AC"/>
    <w:rsid w:val="00CA44F6"/>
    <w:rsid w:val="00CA59F2"/>
    <w:rsid w:val="00CA6EF0"/>
    <w:rsid w:val="00CB4B5F"/>
    <w:rsid w:val="00CB631F"/>
    <w:rsid w:val="00CC5685"/>
    <w:rsid w:val="00CD1207"/>
    <w:rsid w:val="00CD30B6"/>
    <w:rsid w:val="00CD47A1"/>
    <w:rsid w:val="00CD6114"/>
    <w:rsid w:val="00CD662A"/>
    <w:rsid w:val="00CD72E2"/>
    <w:rsid w:val="00CE0E59"/>
    <w:rsid w:val="00CE6F44"/>
    <w:rsid w:val="00CF46A0"/>
    <w:rsid w:val="00CF4EBC"/>
    <w:rsid w:val="00CF6AF4"/>
    <w:rsid w:val="00D00AF9"/>
    <w:rsid w:val="00D02FAC"/>
    <w:rsid w:val="00D044CE"/>
    <w:rsid w:val="00D05469"/>
    <w:rsid w:val="00D12415"/>
    <w:rsid w:val="00D20390"/>
    <w:rsid w:val="00D241B8"/>
    <w:rsid w:val="00D2531A"/>
    <w:rsid w:val="00D258EA"/>
    <w:rsid w:val="00D307AF"/>
    <w:rsid w:val="00D30933"/>
    <w:rsid w:val="00D329DB"/>
    <w:rsid w:val="00D36C1F"/>
    <w:rsid w:val="00D403AA"/>
    <w:rsid w:val="00D42E65"/>
    <w:rsid w:val="00D4355F"/>
    <w:rsid w:val="00D44521"/>
    <w:rsid w:val="00D44931"/>
    <w:rsid w:val="00D45CD8"/>
    <w:rsid w:val="00D45CF3"/>
    <w:rsid w:val="00D460D2"/>
    <w:rsid w:val="00D547BE"/>
    <w:rsid w:val="00D5538C"/>
    <w:rsid w:val="00D55EFB"/>
    <w:rsid w:val="00D61DDA"/>
    <w:rsid w:val="00D649B5"/>
    <w:rsid w:val="00D65ABD"/>
    <w:rsid w:val="00D66E7C"/>
    <w:rsid w:val="00D71199"/>
    <w:rsid w:val="00D71A68"/>
    <w:rsid w:val="00D74CC2"/>
    <w:rsid w:val="00D7719C"/>
    <w:rsid w:val="00D77798"/>
    <w:rsid w:val="00D82062"/>
    <w:rsid w:val="00D84684"/>
    <w:rsid w:val="00D87044"/>
    <w:rsid w:val="00D90BCC"/>
    <w:rsid w:val="00D92E21"/>
    <w:rsid w:val="00D94EED"/>
    <w:rsid w:val="00D9527C"/>
    <w:rsid w:val="00D957FB"/>
    <w:rsid w:val="00DA51DD"/>
    <w:rsid w:val="00DA70C2"/>
    <w:rsid w:val="00DB02D2"/>
    <w:rsid w:val="00DB1077"/>
    <w:rsid w:val="00DB236A"/>
    <w:rsid w:val="00DB4375"/>
    <w:rsid w:val="00DC1585"/>
    <w:rsid w:val="00DD09CC"/>
    <w:rsid w:val="00DD1D5C"/>
    <w:rsid w:val="00DD2DDC"/>
    <w:rsid w:val="00DD39D7"/>
    <w:rsid w:val="00DD42FF"/>
    <w:rsid w:val="00DD61F0"/>
    <w:rsid w:val="00DD7468"/>
    <w:rsid w:val="00DD7BEE"/>
    <w:rsid w:val="00DE2D72"/>
    <w:rsid w:val="00DF0AB0"/>
    <w:rsid w:val="00DF763E"/>
    <w:rsid w:val="00DF7D6F"/>
    <w:rsid w:val="00E10488"/>
    <w:rsid w:val="00E10717"/>
    <w:rsid w:val="00E14188"/>
    <w:rsid w:val="00E14838"/>
    <w:rsid w:val="00E165D6"/>
    <w:rsid w:val="00E20DC1"/>
    <w:rsid w:val="00E2351D"/>
    <w:rsid w:val="00E25ED4"/>
    <w:rsid w:val="00E2600D"/>
    <w:rsid w:val="00E278B5"/>
    <w:rsid w:val="00E311FF"/>
    <w:rsid w:val="00E33B76"/>
    <w:rsid w:val="00E370F7"/>
    <w:rsid w:val="00E406C2"/>
    <w:rsid w:val="00E4187E"/>
    <w:rsid w:val="00E41F0F"/>
    <w:rsid w:val="00E43A4E"/>
    <w:rsid w:val="00E4733E"/>
    <w:rsid w:val="00E53520"/>
    <w:rsid w:val="00E55745"/>
    <w:rsid w:val="00E55A7A"/>
    <w:rsid w:val="00E62212"/>
    <w:rsid w:val="00E65BF8"/>
    <w:rsid w:val="00E674DF"/>
    <w:rsid w:val="00E708E7"/>
    <w:rsid w:val="00E72B38"/>
    <w:rsid w:val="00E72DEB"/>
    <w:rsid w:val="00E72FDC"/>
    <w:rsid w:val="00E77938"/>
    <w:rsid w:val="00E806FF"/>
    <w:rsid w:val="00E80A3E"/>
    <w:rsid w:val="00E80F56"/>
    <w:rsid w:val="00E824D5"/>
    <w:rsid w:val="00E85145"/>
    <w:rsid w:val="00E85786"/>
    <w:rsid w:val="00E87A11"/>
    <w:rsid w:val="00E87C13"/>
    <w:rsid w:val="00E96168"/>
    <w:rsid w:val="00E973BB"/>
    <w:rsid w:val="00EA0875"/>
    <w:rsid w:val="00EB2F31"/>
    <w:rsid w:val="00EB3F26"/>
    <w:rsid w:val="00EB4F62"/>
    <w:rsid w:val="00EB5B95"/>
    <w:rsid w:val="00EB66BF"/>
    <w:rsid w:val="00EB6A15"/>
    <w:rsid w:val="00EC030A"/>
    <w:rsid w:val="00EC0773"/>
    <w:rsid w:val="00ED087C"/>
    <w:rsid w:val="00ED1DA2"/>
    <w:rsid w:val="00ED35E5"/>
    <w:rsid w:val="00EE3B13"/>
    <w:rsid w:val="00EE3FCF"/>
    <w:rsid w:val="00EF1F38"/>
    <w:rsid w:val="00EF6538"/>
    <w:rsid w:val="00EF68DA"/>
    <w:rsid w:val="00F00EC9"/>
    <w:rsid w:val="00F0524C"/>
    <w:rsid w:val="00F07549"/>
    <w:rsid w:val="00F10F88"/>
    <w:rsid w:val="00F1419F"/>
    <w:rsid w:val="00F223F4"/>
    <w:rsid w:val="00F234D7"/>
    <w:rsid w:val="00F2789C"/>
    <w:rsid w:val="00F33EF8"/>
    <w:rsid w:val="00F342F9"/>
    <w:rsid w:val="00F407E8"/>
    <w:rsid w:val="00F42E1B"/>
    <w:rsid w:val="00F4588E"/>
    <w:rsid w:val="00F47BE4"/>
    <w:rsid w:val="00F613E4"/>
    <w:rsid w:val="00F6423F"/>
    <w:rsid w:val="00F704B1"/>
    <w:rsid w:val="00F70D93"/>
    <w:rsid w:val="00F74872"/>
    <w:rsid w:val="00F804B7"/>
    <w:rsid w:val="00F80817"/>
    <w:rsid w:val="00F81C7E"/>
    <w:rsid w:val="00F843BF"/>
    <w:rsid w:val="00F85740"/>
    <w:rsid w:val="00F87DF1"/>
    <w:rsid w:val="00F9160D"/>
    <w:rsid w:val="00F94EDC"/>
    <w:rsid w:val="00FA109E"/>
    <w:rsid w:val="00FA3AE7"/>
    <w:rsid w:val="00FA3F4E"/>
    <w:rsid w:val="00FA4D81"/>
    <w:rsid w:val="00FA6845"/>
    <w:rsid w:val="00FB1976"/>
    <w:rsid w:val="00FB33BA"/>
    <w:rsid w:val="00FC2F41"/>
    <w:rsid w:val="00FC5D36"/>
    <w:rsid w:val="00FC6D83"/>
    <w:rsid w:val="00FC72BE"/>
    <w:rsid w:val="00FE3307"/>
    <w:rsid w:val="00FF0EBB"/>
    <w:rsid w:val="00FF1446"/>
    <w:rsid w:val="00FF167E"/>
    <w:rsid w:val="00FF1B41"/>
    <w:rsid w:val="00FF37AF"/>
    <w:rsid w:val="00FF4856"/>
    <w:rsid w:val="00FF4AB9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8896"/>
  <w15:docId w15:val="{A2EB95F9-EA80-4EAA-BE64-8B37356B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54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615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615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9615A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9615AC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615AC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961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15A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A52B3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8D45A7"/>
    <w:rPr>
      <w:color w:val="808080"/>
    </w:rPr>
  </w:style>
  <w:style w:type="character" w:styleId="ac">
    <w:name w:val="annotation reference"/>
    <w:basedOn w:val="a0"/>
    <w:uiPriority w:val="99"/>
    <w:semiHidden/>
    <w:unhideWhenUsed/>
    <w:rsid w:val="007C32FB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C32F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7C32F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C32F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C32FB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5C5533"/>
    <w:pPr>
      <w:spacing w:after="0" w:line="240" w:lineRule="auto"/>
    </w:pPr>
  </w:style>
  <w:style w:type="paragraph" w:styleId="af2">
    <w:name w:val="header"/>
    <w:basedOn w:val="a"/>
    <w:link w:val="af3"/>
    <w:uiPriority w:val="99"/>
    <w:unhideWhenUsed/>
    <w:rsid w:val="00E97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E973BB"/>
  </w:style>
  <w:style w:type="character" w:customStyle="1" w:styleId="10">
    <w:name w:val="Заголовок 1 Знак"/>
    <w:basedOn w:val="a0"/>
    <w:link w:val="1"/>
    <w:uiPriority w:val="9"/>
    <w:rsid w:val="000154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4">
    <w:name w:val="Table Grid"/>
    <w:basedOn w:val="a1"/>
    <w:uiPriority w:val="59"/>
    <w:rsid w:val="00693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rsid w:val="00A423A6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rsid w:val="00A423A6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s0">
    <w:name w:val="s0"/>
    <w:rsid w:val="0044314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A561C-3D2A-4BC2-9CB1-26BA548F2E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F6F940-D5C5-4DFD-957F-ABC05A4AD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8833</Words>
  <Characters>50350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Назым Раева</dc:creator>
  <cp:lastModifiedBy>Dina Teltayeva</cp:lastModifiedBy>
  <cp:revision>3</cp:revision>
  <dcterms:created xsi:type="dcterms:W3CDTF">2026-04-10T12:55:00Z</dcterms:created>
  <dcterms:modified xsi:type="dcterms:W3CDTF">2026-04-10T13:18:00Z</dcterms:modified>
</cp:coreProperties>
</file>