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35" w:rsidRDefault="00DF5235" w:rsidP="00DF5235"/>
    <w:p w:rsidR="00DF5235" w:rsidRDefault="00DF5235" w:rsidP="00DF5235"/>
    <w:p w:rsidR="00250DFD" w:rsidRPr="00250DFD" w:rsidRDefault="00250DFD" w:rsidP="00250DF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0DFD">
        <w:rPr>
          <w:rFonts w:ascii="Times New Roman" w:hAnsi="Times New Roman"/>
          <w:b/>
          <w:sz w:val="28"/>
          <w:szCs w:val="28"/>
          <w:lang w:val="kk-KZ"/>
        </w:rPr>
        <w:t>ҚАЗАҚСТАННЫҢ ДЕПОЗИТТЕРГЕ КЕПІЛДІК БЕРУ ҚОРЫ</w:t>
      </w:r>
    </w:p>
    <w:p w:rsidR="00250DFD" w:rsidRPr="00250DFD" w:rsidRDefault="00250DFD" w:rsidP="00250DF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50DFD" w:rsidRPr="00250DFD" w:rsidRDefault="00250DFD" w:rsidP="00250DF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50DFD" w:rsidRPr="00250DFD" w:rsidRDefault="00250DFD" w:rsidP="00250DF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0DFD">
        <w:rPr>
          <w:rFonts w:ascii="Times New Roman" w:hAnsi="Times New Roman"/>
          <w:b/>
          <w:sz w:val="28"/>
          <w:szCs w:val="28"/>
          <w:lang w:val="kk-KZ"/>
        </w:rPr>
        <w:t>Жарналардың дифференциалды  мөлшерлемелерін есептеу және методологиясы департаменті</w:t>
      </w:r>
    </w:p>
    <w:p w:rsidR="00DF5235" w:rsidRPr="00250DFD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val="kk-KZ"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250DFD" w:rsidRPr="00E97068" w:rsidRDefault="00250DFD" w:rsidP="00250DF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97068">
        <w:rPr>
          <w:rFonts w:ascii="Times New Roman" w:hAnsi="Times New Roman"/>
          <w:b/>
          <w:sz w:val="28"/>
          <w:szCs w:val="28"/>
          <w:lang w:val="kk-KZ"/>
        </w:rPr>
        <w:t>201</w:t>
      </w:r>
      <w:r w:rsidRPr="00C8517B">
        <w:rPr>
          <w:rFonts w:ascii="Times New Roman" w:hAnsi="Times New Roman"/>
          <w:b/>
          <w:sz w:val="28"/>
          <w:szCs w:val="28"/>
        </w:rPr>
        <w:t>5</w:t>
      </w:r>
      <w:r w:rsidRPr="00E97068">
        <w:rPr>
          <w:rFonts w:ascii="Times New Roman" w:hAnsi="Times New Roman"/>
          <w:b/>
          <w:sz w:val="28"/>
          <w:szCs w:val="28"/>
          <w:lang w:val="kk-KZ"/>
        </w:rPr>
        <w:t xml:space="preserve"> ж. </w:t>
      </w:r>
      <w:r w:rsidRPr="0056654F">
        <w:rPr>
          <w:rFonts w:ascii="Times New Roman" w:hAnsi="Times New Roman"/>
          <w:b/>
          <w:sz w:val="28"/>
          <w:szCs w:val="28"/>
        </w:rPr>
        <w:t>1</w:t>
      </w:r>
      <w:r w:rsidRPr="00E97068">
        <w:rPr>
          <w:rFonts w:ascii="Times New Roman" w:hAnsi="Times New Roman"/>
          <w:b/>
          <w:sz w:val="28"/>
          <w:szCs w:val="28"/>
          <w:lang w:val="kk-KZ"/>
        </w:rPr>
        <w:t>-тоқсанындағы</w:t>
      </w:r>
    </w:p>
    <w:p w:rsidR="00250DFD" w:rsidRPr="00E97068" w:rsidRDefault="00250DFD" w:rsidP="00250DFD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E97068">
        <w:rPr>
          <w:rFonts w:ascii="Times New Roman" w:hAnsi="Times New Roman"/>
          <w:b/>
          <w:caps/>
          <w:sz w:val="28"/>
          <w:szCs w:val="28"/>
          <w:lang w:val="kk-KZ"/>
        </w:rPr>
        <w:t>Жеке тұлғалардың депозиттерІ нарығына</w:t>
      </w:r>
    </w:p>
    <w:p w:rsidR="00250DFD" w:rsidRPr="00E97068" w:rsidRDefault="00250DFD" w:rsidP="00250DFD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E97068">
        <w:rPr>
          <w:rFonts w:ascii="Times New Roman" w:hAnsi="Times New Roman"/>
          <w:b/>
          <w:caps/>
          <w:sz w:val="28"/>
          <w:szCs w:val="28"/>
          <w:lang w:val="kk-KZ"/>
        </w:rPr>
        <w:t>қысқаша ақпараттық шолу</w:t>
      </w:r>
    </w:p>
    <w:p w:rsidR="00DF5235" w:rsidRPr="00250DFD" w:rsidRDefault="00DF5235" w:rsidP="00DF5235">
      <w:pPr>
        <w:spacing w:after="120"/>
        <w:jc w:val="center"/>
        <w:outlineLvl w:val="0"/>
        <w:rPr>
          <w:rFonts w:ascii="Times New Roman" w:hAnsi="Times New Roman"/>
          <w:b/>
          <w:i/>
          <w:spacing w:val="20"/>
          <w:sz w:val="32"/>
          <w:szCs w:val="32"/>
          <w:lang w:val="kk-KZ" w:eastAsia="it-IT"/>
        </w:rPr>
      </w:pPr>
    </w:p>
    <w:p w:rsidR="001B1FD7" w:rsidRPr="00250DFD" w:rsidRDefault="001B1FD7" w:rsidP="001B1FD7">
      <w:pPr>
        <w:rPr>
          <w:lang w:val="kk-KZ"/>
        </w:rPr>
      </w:pPr>
    </w:p>
    <w:p w:rsidR="001B1FD7" w:rsidRPr="00250DFD" w:rsidRDefault="001B1FD7" w:rsidP="001B1FD7">
      <w:pPr>
        <w:rPr>
          <w:lang w:val="kk-KZ"/>
        </w:rPr>
      </w:pPr>
    </w:p>
    <w:p w:rsidR="001B1FD7" w:rsidRPr="00250DFD" w:rsidRDefault="001B1FD7" w:rsidP="001B1FD7">
      <w:pPr>
        <w:rPr>
          <w:lang w:val="kk-KZ"/>
        </w:rPr>
      </w:pPr>
    </w:p>
    <w:p w:rsidR="00DF5235" w:rsidRPr="00250DFD" w:rsidRDefault="001B1FD7" w:rsidP="00DF523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kk-KZ"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0DFD">
        <w:rPr>
          <w:rFonts w:ascii="Times New Roman" w:eastAsia="Times New Roman" w:hAnsi="Times New Roman"/>
          <w:b/>
          <w:spacing w:val="20"/>
          <w:sz w:val="24"/>
          <w:szCs w:val="24"/>
          <w:lang w:val="kk-KZ"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250DFD" w:rsidRDefault="00250DFD" w:rsidP="00250DFD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kk-KZ"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7068">
        <w:rPr>
          <w:rFonts w:ascii="Times New Roman" w:eastAsia="Times New Roman" w:hAnsi="Times New Roman"/>
          <w:b/>
          <w:sz w:val="24"/>
          <w:szCs w:val="24"/>
          <w:lang w:val="kk-KZ"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Жеке тұлғалардың депозиттер нарығының тенденциясына шолу</w:t>
      </w:r>
    </w:p>
    <w:p w:rsidR="006D2F60" w:rsidRPr="00250DFD" w:rsidRDefault="006D2F60" w:rsidP="00250DFD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val="kk-KZ" w:eastAsia="it-IT"/>
        </w:rPr>
      </w:pPr>
    </w:p>
    <w:p w:rsidR="00C8517B" w:rsidRPr="007B320B" w:rsidRDefault="00C8517B" w:rsidP="00C34211">
      <w:pPr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Депозиттерге кепілдік беру жүйесіне қатысушы банктердегі жеке тұлғалардың депозиттері </w:t>
      </w:r>
      <w:r w:rsidRPr="00E97068">
        <w:rPr>
          <w:rFonts w:ascii="Times New Roman" w:hAnsi="Times New Roman"/>
          <w:sz w:val="24"/>
          <w:szCs w:val="24"/>
          <w:lang w:val="kk-KZ"/>
        </w:rPr>
        <w:t>201</w:t>
      </w:r>
      <w:r w:rsidR="007B320B" w:rsidRPr="007B320B">
        <w:rPr>
          <w:rFonts w:ascii="Times New Roman" w:hAnsi="Times New Roman"/>
          <w:sz w:val="24"/>
          <w:szCs w:val="24"/>
          <w:lang w:val="kk-KZ"/>
        </w:rPr>
        <w:t>5</w:t>
      </w:r>
      <w:r w:rsidRPr="00E97068">
        <w:rPr>
          <w:rFonts w:ascii="Times New Roman" w:hAnsi="Times New Roman"/>
          <w:sz w:val="24"/>
          <w:szCs w:val="24"/>
          <w:lang w:val="kk-KZ"/>
        </w:rPr>
        <w:t xml:space="preserve"> жылдың 1 сәуіріндегі жағдайы бойынша </w:t>
      </w:r>
      <w:r w:rsidRPr="00E97068">
        <w:rPr>
          <w:rFonts w:ascii="Times New Roman" w:eastAsia="Times New Roman" w:hAnsi="Times New Roman"/>
          <w:sz w:val="24"/>
          <w:szCs w:val="24"/>
          <w:lang w:val="kk-KZ" w:eastAsia="it-IT"/>
        </w:rPr>
        <w:t>4,</w:t>
      </w:r>
      <w:r w:rsidR="007B320B" w:rsidRPr="007B320B">
        <w:rPr>
          <w:rFonts w:ascii="Times New Roman" w:eastAsia="Times New Roman" w:hAnsi="Times New Roman"/>
          <w:sz w:val="24"/>
          <w:szCs w:val="24"/>
          <w:lang w:val="kk-KZ" w:eastAsia="it-IT"/>
        </w:rPr>
        <w:t>3</w:t>
      </w:r>
      <w:r w:rsidRPr="00E97068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трлн. теңгеге жетті, оның ішінде 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депозиттік қоржынның </w:t>
      </w:r>
      <w:r w:rsidR="007B320B">
        <w:rPr>
          <w:rFonts w:ascii="Times New Roman" w:eastAsia="SimSun" w:hAnsi="Times New Roman"/>
          <w:sz w:val="24"/>
          <w:szCs w:val="24"/>
          <w:lang w:val="kk-KZ"/>
        </w:rPr>
        <w:t xml:space="preserve">мөлшері 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1 тоқсанда</w:t>
      </w:r>
      <w:r w:rsidR="007B320B">
        <w:rPr>
          <w:rFonts w:ascii="Times New Roman" w:eastAsia="SimSun" w:hAnsi="Times New Roman"/>
          <w:sz w:val="24"/>
          <w:szCs w:val="24"/>
          <w:lang w:val="kk-KZ"/>
        </w:rPr>
        <w:t xml:space="preserve"> 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1</w:t>
      </w:r>
      <w:r w:rsidR="007B320B">
        <w:rPr>
          <w:rFonts w:ascii="Times New Roman" w:eastAsia="SimSun" w:hAnsi="Times New Roman"/>
          <w:sz w:val="24"/>
          <w:szCs w:val="24"/>
          <w:lang w:val="kk-KZ"/>
        </w:rPr>
        <w:t>40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,1 млрд. теңге</w:t>
      </w:r>
      <w:r w:rsidR="008B005D">
        <w:rPr>
          <w:rFonts w:ascii="Times New Roman" w:eastAsia="SimSun" w:hAnsi="Times New Roman"/>
          <w:sz w:val="24"/>
          <w:szCs w:val="24"/>
          <w:lang w:val="kk-KZ"/>
        </w:rPr>
        <w:t>ге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немесе </w:t>
      </w:r>
      <w:r w:rsidR="008B005D">
        <w:rPr>
          <w:rFonts w:ascii="Times New Roman" w:eastAsia="SimSun" w:hAnsi="Times New Roman"/>
          <w:sz w:val="24"/>
          <w:szCs w:val="24"/>
          <w:lang w:val="kk-KZ"/>
        </w:rPr>
        <w:t>3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,</w:t>
      </w:r>
      <w:r w:rsidR="008B005D">
        <w:rPr>
          <w:rFonts w:ascii="Times New Roman" w:eastAsia="SimSun" w:hAnsi="Times New Roman"/>
          <w:sz w:val="24"/>
          <w:szCs w:val="24"/>
          <w:lang w:val="kk-KZ"/>
        </w:rPr>
        <w:t>2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%</w:t>
      </w:r>
      <w:r w:rsidR="008B005D">
        <w:rPr>
          <w:rFonts w:ascii="Times New Roman" w:eastAsia="SimSun" w:hAnsi="Times New Roman"/>
          <w:sz w:val="24"/>
          <w:szCs w:val="24"/>
          <w:lang w:val="kk-KZ"/>
        </w:rPr>
        <w:t>-ке кеміді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. </w:t>
      </w:r>
    </w:p>
    <w:p w:rsidR="008B005D" w:rsidRPr="00BD26AA" w:rsidRDefault="008B005D" w:rsidP="00C34211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it-IT"/>
        </w:rPr>
      </w:pPr>
      <w:r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Халықтың депозиттерін </w:t>
      </w:r>
      <w:r w:rsidR="005E0D42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тарту </w:t>
      </w:r>
      <w:r w:rsidR="00D36A65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бойынша алғашқы бестікке келесі банктер кіреді: өзіне қосылған  </w:t>
      </w:r>
      <w:r w:rsidR="00D36A65" w:rsidRPr="00D36A65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ABC Bank</w:t>
      </w:r>
      <w:r w:rsidR="00D36A6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0C1B3D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="00D36A65">
        <w:rPr>
          <w:rFonts w:ascii="Times New Roman" w:hAnsi="Times New Roman"/>
          <w:color w:val="000000"/>
          <w:sz w:val="24"/>
          <w:szCs w:val="24"/>
          <w:lang w:val="kk-KZ"/>
        </w:rPr>
        <w:t>ен</w:t>
      </w:r>
      <w:r w:rsidR="00D36A65" w:rsidRPr="00D36A6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36A65" w:rsidRPr="00D36A65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Темiрбанк</w:t>
      </w:r>
      <w:r w:rsidR="00D36A65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 xml:space="preserve">тің </w:t>
      </w:r>
      <w:r w:rsidR="000E4F18">
        <w:rPr>
          <w:rFonts w:ascii="Times New Roman" w:hAnsi="Times New Roman"/>
          <w:color w:val="000000"/>
          <w:sz w:val="24"/>
          <w:szCs w:val="24"/>
          <w:lang w:val="kk-KZ"/>
        </w:rPr>
        <w:t xml:space="preserve">міндеттемелерін алған </w:t>
      </w:r>
      <w:r w:rsidR="000E4F18" w:rsidRPr="000E4F18">
        <w:rPr>
          <w:rFonts w:ascii="Times New Roman" w:eastAsia="Times New Roman" w:hAnsi="Times New Roman"/>
          <w:b/>
          <w:i/>
          <w:color w:val="000000"/>
          <w:sz w:val="24"/>
          <w:szCs w:val="24"/>
          <w:lang w:val="kk-KZ" w:eastAsia="ru-RU"/>
        </w:rPr>
        <w:t xml:space="preserve">Forte Bank  </w:t>
      </w:r>
      <w:r w:rsidR="000E4F18">
        <w:rPr>
          <w:rFonts w:ascii="Times New Roman" w:eastAsia="Times New Roman" w:hAnsi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="000E4F1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депозиттерінің </w:t>
      </w:r>
      <w:r w:rsidR="000E4F18" w:rsidRPr="000E4F1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70,4 млрд.</w:t>
      </w:r>
      <w:r w:rsidR="000E4F1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</w:t>
      </w:r>
      <w:r w:rsidR="000E4F18" w:rsidRPr="000E4F1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0E4F1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өсімі</w:t>
      </w:r>
      <w:r w:rsidR="007530C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мен, </w:t>
      </w:r>
      <w:r w:rsidR="000E4F1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7530CA" w:rsidRPr="007530CA">
        <w:rPr>
          <w:rFonts w:ascii="Times New Roman" w:eastAsia="Times New Roman" w:hAnsi="Times New Roman"/>
          <w:b/>
          <w:i/>
          <w:color w:val="000000"/>
          <w:sz w:val="24"/>
          <w:szCs w:val="24"/>
          <w:lang w:val="kk-KZ" w:eastAsia="ru-RU"/>
        </w:rPr>
        <w:t xml:space="preserve">ЖССБ  </w:t>
      </w:r>
      <w:r w:rsidR="007530CA" w:rsidRPr="007530C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+20,3 млрд.</w:t>
      </w:r>
      <w:r w:rsidR="007530C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</w:t>
      </w:r>
      <w:r w:rsidR="007530CA" w:rsidRPr="007530C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, </w:t>
      </w:r>
      <w:r w:rsidR="007530CA" w:rsidRPr="007530CA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АТФБанк</w:t>
      </w:r>
      <w:r w:rsidR="007530CA" w:rsidRPr="007530CA">
        <w:rPr>
          <w:rFonts w:ascii="Times New Roman" w:hAnsi="Times New Roman"/>
          <w:color w:val="000000"/>
          <w:sz w:val="24"/>
          <w:szCs w:val="24"/>
          <w:lang w:val="kk-KZ"/>
        </w:rPr>
        <w:t xml:space="preserve"> +5,5 млрд.</w:t>
      </w:r>
      <w:r w:rsidR="007530C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530C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теңге</w:t>
      </w:r>
      <w:r w:rsidR="007530CA" w:rsidRPr="007530CA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7530CA" w:rsidRPr="007530CA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 xml:space="preserve">Банк Астаны </w:t>
      </w:r>
      <w:r w:rsidR="007530CA" w:rsidRPr="007530CA">
        <w:rPr>
          <w:rFonts w:ascii="Times New Roman" w:hAnsi="Times New Roman"/>
          <w:color w:val="000000"/>
          <w:sz w:val="24"/>
          <w:szCs w:val="24"/>
          <w:lang w:val="kk-KZ"/>
        </w:rPr>
        <w:t>+3,6 млрд.</w:t>
      </w:r>
      <w:r w:rsidR="007530C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530C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теңге</w:t>
      </w:r>
      <w:r w:rsidR="007530CA" w:rsidRPr="007530CA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7530CA" w:rsidRPr="007530CA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BankRBK</w:t>
      </w:r>
      <w:r w:rsidR="007530CA" w:rsidRPr="007530CA">
        <w:rPr>
          <w:rFonts w:ascii="Times New Roman" w:hAnsi="Times New Roman"/>
          <w:color w:val="000000"/>
          <w:sz w:val="24"/>
          <w:szCs w:val="24"/>
          <w:lang w:val="kk-KZ"/>
        </w:rPr>
        <w:t xml:space="preserve"> +0,9 млрд.</w:t>
      </w:r>
      <w:r w:rsidR="007530C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530C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теңге.</w:t>
      </w:r>
      <w:r w:rsidR="00662CC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Есептік тоқсан ішінде банктердің жартысынан көбісінде депозиттердің</w:t>
      </w:r>
      <w:r w:rsidR="00EB35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кемуі байқалады, алайда </w:t>
      </w:r>
      <w:r w:rsidR="00662CC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EB35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ең жоғарғы депозиттер кемуі </w:t>
      </w:r>
      <w:r w:rsidR="00EB352D" w:rsidRPr="00EB352D">
        <w:rPr>
          <w:rFonts w:ascii="Times New Roman" w:eastAsia="Times New Roman" w:hAnsi="Times New Roman"/>
          <w:b/>
          <w:i/>
          <w:sz w:val="24"/>
          <w:szCs w:val="24"/>
          <w:lang w:val="kk-KZ" w:eastAsia="it-IT"/>
        </w:rPr>
        <w:t>Халык Банк</w:t>
      </w:r>
      <w:r w:rsidR="00EB352D">
        <w:rPr>
          <w:rFonts w:ascii="Times New Roman" w:eastAsia="Times New Roman" w:hAnsi="Times New Roman"/>
          <w:b/>
          <w:i/>
          <w:sz w:val="24"/>
          <w:szCs w:val="24"/>
          <w:lang w:val="kk-KZ" w:eastAsia="it-IT"/>
        </w:rPr>
        <w:t xml:space="preserve">інде </w:t>
      </w:r>
      <w:r w:rsidR="00EB352D" w:rsidRPr="00EB35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58,6 млрд.</w:t>
      </w:r>
      <w:r w:rsidR="00EB35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 көлемінде болды</w:t>
      </w:r>
      <w:r w:rsidR="00EB352D" w:rsidRPr="00EB35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,</w:t>
      </w:r>
      <w:r w:rsidR="007E2EF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ал </w:t>
      </w:r>
      <w:r w:rsidR="007E2EF5" w:rsidRPr="007E2EF5">
        <w:rPr>
          <w:rFonts w:ascii="Times New Roman" w:eastAsia="Times New Roman" w:hAnsi="Times New Roman"/>
          <w:b/>
          <w:i/>
          <w:sz w:val="24"/>
          <w:szCs w:val="24"/>
          <w:lang w:val="kk-KZ" w:eastAsia="it-IT"/>
        </w:rPr>
        <w:t>ККБ</w:t>
      </w:r>
      <w:r w:rsidR="007E2EF5">
        <w:rPr>
          <w:rFonts w:ascii="Times New Roman" w:eastAsia="Times New Roman" w:hAnsi="Times New Roman"/>
          <w:b/>
          <w:i/>
          <w:sz w:val="24"/>
          <w:szCs w:val="24"/>
          <w:lang w:val="kk-KZ" w:eastAsia="it-IT"/>
        </w:rPr>
        <w:t xml:space="preserve">-да </w:t>
      </w:r>
      <w:r w:rsidR="007E2EF5" w:rsidRPr="007E2EF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33,1 млрд.</w:t>
      </w:r>
      <w:r w:rsidR="007E2EF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теңгені</w:t>
      </w:r>
      <w:r w:rsidR="007E2EF5" w:rsidRPr="007E2EF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, </w:t>
      </w:r>
      <w:r w:rsidR="007E2EF5" w:rsidRPr="007E2EF5">
        <w:rPr>
          <w:rFonts w:ascii="Times New Roman" w:eastAsia="Times New Roman" w:hAnsi="Times New Roman"/>
          <w:b/>
          <w:i/>
          <w:sz w:val="24"/>
          <w:szCs w:val="24"/>
          <w:lang w:val="kk-KZ" w:eastAsia="it-IT"/>
        </w:rPr>
        <w:t>Цесна Банк</w:t>
      </w:r>
      <w:r w:rsidR="007E2EF5">
        <w:rPr>
          <w:rFonts w:ascii="Times New Roman" w:eastAsia="Times New Roman" w:hAnsi="Times New Roman"/>
          <w:b/>
          <w:i/>
          <w:sz w:val="24"/>
          <w:szCs w:val="24"/>
          <w:lang w:val="kk-KZ" w:eastAsia="it-IT"/>
        </w:rPr>
        <w:t>т</w:t>
      </w:r>
      <w:r w:rsidR="007E2EF5" w:rsidRPr="007E2EF5">
        <w:rPr>
          <w:rFonts w:ascii="Times New Roman" w:eastAsia="Times New Roman" w:hAnsi="Times New Roman"/>
          <w:b/>
          <w:i/>
          <w:sz w:val="24"/>
          <w:szCs w:val="24"/>
          <w:lang w:val="kk-KZ" w:eastAsia="it-IT"/>
        </w:rPr>
        <w:t xml:space="preserve">е </w:t>
      </w:r>
      <w:r w:rsidR="007E2EF5" w:rsidRPr="007E2EF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14,8 млрд.</w:t>
      </w:r>
      <w:r w:rsidR="007E2EF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теңгені</w:t>
      </w:r>
      <w:r w:rsidR="007E2EF5" w:rsidRPr="007E2EF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, </w:t>
      </w:r>
      <w:r w:rsidR="007E2EF5" w:rsidRPr="007E2EF5">
        <w:rPr>
          <w:rFonts w:ascii="Times New Roman" w:eastAsia="Times New Roman" w:hAnsi="Times New Roman"/>
          <w:b/>
          <w:i/>
          <w:color w:val="000000"/>
          <w:sz w:val="24"/>
          <w:szCs w:val="24"/>
          <w:lang w:val="kk-KZ" w:eastAsia="ru-RU"/>
        </w:rPr>
        <w:t>БЦК</w:t>
      </w:r>
      <w:r w:rsidR="007E2EF5">
        <w:rPr>
          <w:rFonts w:ascii="Times New Roman" w:eastAsia="Times New Roman" w:hAnsi="Times New Roman"/>
          <w:b/>
          <w:i/>
          <w:color w:val="000000"/>
          <w:sz w:val="24"/>
          <w:szCs w:val="24"/>
          <w:lang w:val="kk-KZ" w:eastAsia="ru-RU"/>
        </w:rPr>
        <w:t xml:space="preserve">-те </w:t>
      </w:r>
      <w:r w:rsidR="007E2EF5" w:rsidRPr="007E2EF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9,8 млрд.</w:t>
      </w:r>
      <w:r w:rsidR="007E2EF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теңгені құрады. </w:t>
      </w:r>
      <w:r w:rsidR="007E2EF5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Халықтың депозиттерінің жалпы </w:t>
      </w:r>
      <w:r w:rsidR="00BD26AA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өсімі </w:t>
      </w:r>
      <w:r w:rsidR="00BD26AA" w:rsidRPr="00BD26A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103,1 млрд.</w:t>
      </w:r>
      <w:r w:rsidR="00BD26A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</w:t>
      </w:r>
      <w:r w:rsidR="00BD26AA" w:rsidRPr="00BD26A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, </w:t>
      </w:r>
      <w:r w:rsidR="00BD26A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ал кемуі</w:t>
      </w:r>
      <w:r w:rsidR="00BD26AA" w:rsidRPr="00BD26A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(- 243,2 млрд.)</w:t>
      </w:r>
      <w:r w:rsidR="00BD26A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 болды</w:t>
      </w:r>
      <w:r w:rsidR="00BD26AA" w:rsidRPr="00BD26A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.</w:t>
      </w:r>
    </w:p>
    <w:p w:rsidR="00604526" w:rsidRPr="00604526" w:rsidRDefault="00BD26AA" w:rsidP="0060452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it-IT"/>
        </w:rPr>
      </w:pPr>
      <w:r>
        <w:rPr>
          <w:rFonts w:ascii="Times New Roman" w:eastAsia="Times New Roman" w:hAnsi="Times New Roman"/>
          <w:sz w:val="24"/>
          <w:szCs w:val="24"/>
          <w:lang w:val="kk-KZ" w:eastAsia="it-IT"/>
        </w:rPr>
        <w:t>Егер депозиттер қоржынын</w:t>
      </w:r>
      <w:r w:rsidR="009863F0">
        <w:rPr>
          <w:rFonts w:ascii="Times New Roman" w:eastAsia="Times New Roman" w:hAnsi="Times New Roman"/>
          <w:sz w:val="24"/>
          <w:szCs w:val="24"/>
          <w:lang w:val="kk-KZ" w:eastAsia="it-IT"/>
        </w:rPr>
        <w:t>ың</w:t>
      </w:r>
      <w:r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валюталар </w:t>
      </w:r>
      <w:r w:rsidR="00B52802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бойынша </w:t>
      </w:r>
      <w:r w:rsidR="009863F0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құрамын қарастырсақ, онда жеке тұлғалар үшін шетел валютасымен салымдардың </w:t>
      </w:r>
      <w:r w:rsidR="00DC1D6A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әліде қалаулырақ қаржылық құрал болып тұрғанын атап өту қажет, олардың депозиттер қоржынындағы үлесі </w:t>
      </w:r>
      <w:r w:rsidR="00DC1D6A" w:rsidRPr="00DC1D6A">
        <w:rPr>
          <w:rFonts w:ascii="Times New Roman" w:eastAsia="Times New Roman" w:hAnsi="Times New Roman"/>
          <w:sz w:val="24"/>
          <w:szCs w:val="24"/>
          <w:lang w:val="kk-KZ" w:eastAsia="it-IT"/>
        </w:rPr>
        <w:t>67,5%</w:t>
      </w:r>
      <w:r w:rsidR="00C5101C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, ал қалған бөлік ұлттық валютадағы депозиттерге тиесілі. Оның ішінде кезең барысында теңге бойынша салымдар </w:t>
      </w:r>
      <w:r w:rsidR="00604526" w:rsidRPr="00604526">
        <w:rPr>
          <w:rFonts w:ascii="Times New Roman" w:eastAsia="Times New Roman" w:hAnsi="Times New Roman"/>
          <w:sz w:val="24"/>
          <w:szCs w:val="24"/>
          <w:lang w:val="kk-KZ" w:eastAsia="it-IT"/>
        </w:rPr>
        <w:t>47,5 млрд.</w:t>
      </w:r>
      <w:r w:rsidR="00604526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теңгеге</w:t>
      </w:r>
      <w:r w:rsidR="00C5101C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</w:t>
      </w:r>
      <w:r w:rsidR="00604526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немесе </w:t>
      </w:r>
      <w:r w:rsidR="00604526" w:rsidRPr="00604526">
        <w:rPr>
          <w:rFonts w:ascii="Times New Roman" w:eastAsia="Times New Roman" w:hAnsi="Times New Roman"/>
          <w:sz w:val="24"/>
          <w:szCs w:val="24"/>
          <w:lang w:val="kk-KZ" w:eastAsia="it-IT"/>
        </w:rPr>
        <w:t>3,3%</w:t>
      </w:r>
      <w:r w:rsidR="00604526">
        <w:rPr>
          <w:rFonts w:ascii="Times New Roman" w:eastAsia="Times New Roman" w:hAnsi="Times New Roman"/>
          <w:sz w:val="24"/>
          <w:szCs w:val="24"/>
          <w:lang w:val="kk-KZ" w:eastAsia="it-IT"/>
        </w:rPr>
        <w:t>-ке</w:t>
      </w:r>
      <w:r w:rsidR="00604526" w:rsidRPr="00604526">
        <w:rPr>
          <w:rFonts w:ascii="Times New Roman" w:eastAsia="Times New Roman" w:hAnsi="Times New Roman"/>
          <w:sz w:val="24"/>
          <w:szCs w:val="24"/>
          <w:lang w:val="kk-KZ" w:eastAsia="it-IT"/>
        </w:rPr>
        <w:t>,</w:t>
      </w:r>
      <w:r w:rsidR="00604526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шетел валютасы </w:t>
      </w:r>
      <w:r w:rsidR="00604526" w:rsidRPr="00604526">
        <w:rPr>
          <w:rFonts w:ascii="Times New Roman" w:eastAsia="Times New Roman" w:hAnsi="Times New Roman"/>
          <w:sz w:val="24"/>
          <w:szCs w:val="24"/>
          <w:lang w:val="kk-KZ" w:eastAsia="it-IT"/>
        </w:rPr>
        <w:t>92,6 млрд.</w:t>
      </w:r>
      <w:r w:rsidR="00604526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теңгеге немесе</w:t>
      </w:r>
      <w:r w:rsidR="00604526" w:rsidRPr="00604526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 </w:t>
      </w:r>
      <w:r w:rsidR="00B66915">
        <w:rPr>
          <w:rFonts w:ascii="Times New Roman" w:eastAsia="Times New Roman" w:hAnsi="Times New Roman"/>
          <w:sz w:val="24"/>
          <w:szCs w:val="24"/>
          <w:lang w:val="kk-KZ" w:eastAsia="it-IT"/>
        </w:rPr>
        <w:t>(</w:t>
      </w:r>
      <w:r w:rsidR="00604526" w:rsidRPr="00604526">
        <w:rPr>
          <w:rFonts w:ascii="Times New Roman" w:eastAsia="Times New Roman" w:hAnsi="Times New Roman"/>
          <w:sz w:val="24"/>
          <w:szCs w:val="24"/>
          <w:lang w:val="kk-KZ" w:eastAsia="it-IT"/>
        </w:rPr>
        <w:t>-3,1%</w:t>
      </w:r>
      <w:r w:rsidR="00604526">
        <w:rPr>
          <w:rFonts w:ascii="Times New Roman" w:eastAsia="Times New Roman" w:hAnsi="Times New Roman"/>
          <w:sz w:val="24"/>
          <w:szCs w:val="24"/>
          <w:lang w:val="kk-KZ" w:eastAsia="it-IT"/>
        </w:rPr>
        <w:t>-ке</w:t>
      </w:r>
      <w:r w:rsidR="00B66915">
        <w:rPr>
          <w:rFonts w:ascii="Times New Roman" w:eastAsia="Times New Roman" w:hAnsi="Times New Roman"/>
          <w:sz w:val="24"/>
          <w:szCs w:val="24"/>
          <w:lang w:val="kk-KZ" w:eastAsia="it-IT"/>
        </w:rPr>
        <w:t>)</w:t>
      </w:r>
      <w:r w:rsidR="00604526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кемід</w:t>
      </w:r>
      <w:r w:rsidR="009E2FD5">
        <w:rPr>
          <w:rFonts w:ascii="Times New Roman" w:eastAsia="Times New Roman" w:hAnsi="Times New Roman"/>
          <w:sz w:val="24"/>
          <w:szCs w:val="24"/>
          <w:lang w:val="kk-KZ" w:eastAsia="it-IT"/>
        </w:rPr>
        <w:t>і</w:t>
      </w:r>
      <w:r w:rsidR="00604526" w:rsidRPr="00604526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. </w:t>
      </w:r>
    </w:p>
    <w:p w:rsidR="00986CD4" w:rsidRDefault="00986CD4" w:rsidP="009E2FD5">
      <w:pPr>
        <w:pStyle w:val="afc"/>
        <w:spacing w:line="276" w:lineRule="auto"/>
        <w:rPr>
          <w:rFonts w:ascii="Times New Roman" w:eastAsia="Times New Roman" w:hAnsi="Times New Roman"/>
          <w:b/>
          <w:i/>
          <w:noProof/>
          <w:lang w:val="en-US" w:eastAsia="ru-RU"/>
        </w:rPr>
      </w:pPr>
    </w:p>
    <w:p w:rsidR="009E2FD5" w:rsidRPr="009E2FD5" w:rsidRDefault="001B1FD7" w:rsidP="009E2FD5">
      <w:pPr>
        <w:pStyle w:val="afc"/>
        <w:spacing w:line="276" w:lineRule="auto"/>
        <w:rPr>
          <w:rFonts w:ascii="Times New Roman" w:eastAsia="Times New Roman" w:hAnsi="Times New Roman"/>
          <w:b/>
          <w:i/>
          <w:sz w:val="18"/>
          <w:szCs w:val="18"/>
          <w:lang w:val="kk-KZ" w:eastAsia="ru-RU"/>
        </w:rPr>
      </w:pPr>
      <w:r w:rsidRPr="005B11FE">
        <w:rPr>
          <w:rFonts w:ascii="Times New Roman" w:eastAsia="Times New Roman" w:hAnsi="Times New Roman"/>
          <w:b/>
          <w:i/>
          <w:noProof/>
          <w:sz w:val="18"/>
          <w:szCs w:val="18"/>
          <w:lang w:val="kk-KZ" w:eastAsia="ru-RU"/>
        </w:rPr>
        <w:t xml:space="preserve">Диаграмма 1. </w:t>
      </w:r>
      <w:r w:rsidR="009E2FD5" w:rsidRPr="009E2FD5">
        <w:rPr>
          <w:rFonts w:ascii="Times New Roman" w:eastAsia="Times New Roman" w:hAnsi="Times New Roman"/>
          <w:b/>
          <w:i/>
          <w:sz w:val="18"/>
          <w:szCs w:val="18"/>
          <w:lang w:val="kk-KZ" w:eastAsia="ru-RU"/>
        </w:rPr>
        <w:t>Т</w:t>
      </w:r>
      <w:r w:rsidR="009E2FD5" w:rsidRPr="009E2FD5">
        <w:rPr>
          <w:rFonts w:ascii="Times New Roman" w:eastAsia="Times New Roman" w:hAnsi="Times New Roman"/>
          <w:b/>
          <w:i/>
          <w:sz w:val="18"/>
          <w:szCs w:val="18"/>
          <w:lang w:val="kk-KZ" w:eastAsia="it-IT"/>
        </w:rPr>
        <w:t xml:space="preserve">еңге және шетел валютасымен салынған  депозиттер өзгерісінің динамикасы </w:t>
      </w:r>
      <w:r w:rsidR="009E2FD5" w:rsidRPr="009E2FD5">
        <w:rPr>
          <w:rFonts w:ascii="Times New Roman" w:eastAsia="Times New Roman" w:hAnsi="Times New Roman"/>
          <w:b/>
          <w:i/>
          <w:sz w:val="18"/>
          <w:szCs w:val="18"/>
          <w:lang w:val="kk-KZ" w:eastAsia="ru-RU"/>
        </w:rPr>
        <w:t xml:space="preserve">( </w:t>
      </w:r>
      <w:r w:rsidR="009E2FD5">
        <w:rPr>
          <w:rFonts w:ascii="Times New Roman" w:eastAsia="Times New Roman" w:hAnsi="Times New Roman"/>
          <w:b/>
          <w:i/>
          <w:sz w:val="18"/>
          <w:szCs w:val="18"/>
          <w:lang w:val="kk-KZ" w:eastAsia="ru-RU"/>
        </w:rPr>
        <w:t xml:space="preserve">млрд. теңге және </w:t>
      </w:r>
      <w:r w:rsidR="009E2FD5" w:rsidRPr="009E2FD5">
        <w:rPr>
          <w:rFonts w:ascii="Times New Roman" w:eastAsia="Times New Roman" w:hAnsi="Times New Roman"/>
          <w:b/>
          <w:i/>
          <w:sz w:val="18"/>
          <w:szCs w:val="18"/>
          <w:lang w:val="kk-KZ" w:eastAsia="ru-RU"/>
        </w:rPr>
        <w:t>% бойынша)</w:t>
      </w:r>
    </w:p>
    <w:p w:rsidR="001B1FD7" w:rsidRPr="005B11FE" w:rsidRDefault="001B1FD7" w:rsidP="001B1FD7">
      <w:pPr>
        <w:pStyle w:val="afc"/>
        <w:spacing w:line="276" w:lineRule="auto"/>
        <w:rPr>
          <w:rFonts w:ascii="Times New Roman" w:eastAsia="Times New Roman" w:hAnsi="Times New Roman"/>
          <w:b/>
          <w:i/>
          <w:noProof/>
          <w:sz w:val="16"/>
          <w:szCs w:val="16"/>
          <w:lang w:val="kk-KZ" w:eastAsia="ru-RU"/>
        </w:rPr>
      </w:pPr>
    </w:p>
    <w:tbl>
      <w:tblPr>
        <w:tblW w:w="10145" w:type="dxa"/>
        <w:tblLayout w:type="fixed"/>
        <w:tblLook w:val="04A0" w:firstRow="1" w:lastRow="0" w:firstColumn="1" w:lastColumn="0" w:noHBand="0" w:noVBand="1"/>
      </w:tblPr>
      <w:tblGrid>
        <w:gridCol w:w="5146"/>
        <w:gridCol w:w="4999"/>
      </w:tblGrid>
      <w:tr w:rsidR="001B1FD7" w:rsidRPr="008B1AFD" w:rsidTr="00986CD4">
        <w:trPr>
          <w:trHeight w:val="2916"/>
        </w:trPr>
        <w:tc>
          <w:tcPr>
            <w:tcW w:w="5146" w:type="dxa"/>
            <w:shd w:val="clear" w:color="auto" w:fill="auto"/>
          </w:tcPr>
          <w:p w:rsidR="001B1FD7" w:rsidRPr="008B1AFD" w:rsidRDefault="00573C96" w:rsidP="001539CD">
            <w:pPr>
              <w:pStyle w:val="afc"/>
              <w:spacing w:line="276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76186F" wp14:editId="1D9418BE">
                  <wp:extent cx="3130826" cy="1967948"/>
                  <wp:effectExtent l="0" t="0" r="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999" w:type="dxa"/>
            <w:shd w:val="clear" w:color="auto" w:fill="auto"/>
          </w:tcPr>
          <w:p w:rsidR="001B1FD7" w:rsidRPr="008B1AFD" w:rsidRDefault="00573C96" w:rsidP="001539CD">
            <w:pPr>
              <w:pStyle w:val="afc"/>
              <w:spacing w:line="276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85F043" wp14:editId="0E5F1FDF">
                  <wp:extent cx="2981739" cy="1967948"/>
                  <wp:effectExtent l="0" t="0" r="0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1B1FD7" w:rsidRPr="00986CD4" w:rsidRDefault="001B1FD7" w:rsidP="001B1FD7">
      <w:pPr>
        <w:pStyle w:val="afc"/>
        <w:spacing w:line="276" w:lineRule="auto"/>
        <w:rPr>
          <w:rFonts w:ascii="Times New Roman" w:eastAsia="Times New Roman" w:hAnsi="Times New Roman"/>
          <w:noProof/>
          <w:sz w:val="16"/>
          <w:szCs w:val="16"/>
          <w:lang w:val="en-US" w:eastAsia="ru-RU"/>
        </w:rPr>
      </w:pPr>
    </w:p>
    <w:p w:rsidR="00783AE2" w:rsidRDefault="00783AE2" w:rsidP="006D2F60">
      <w:pPr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E97068">
        <w:rPr>
          <w:rFonts w:ascii="Times New Roman" w:eastAsia="SimSun" w:hAnsi="Times New Roman"/>
          <w:sz w:val="24"/>
          <w:szCs w:val="24"/>
          <w:lang w:val="kk-KZ"/>
        </w:rPr>
        <w:t>Халықтың депозиттерінің жиынтық қоржыны  жалпы үлесі 89,</w:t>
      </w:r>
      <w:r>
        <w:rPr>
          <w:rFonts w:ascii="Times New Roman" w:eastAsia="SimSun" w:hAnsi="Times New Roman"/>
          <w:sz w:val="24"/>
          <w:szCs w:val="24"/>
          <w:lang w:val="kk-KZ"/>
        </w:rPr>
        <w:t>5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% немесе 3,</w:t>
      </w:r>
      <w:r>
        <w:rPr>
          <w:rFonts w:ascii="Times New Roman" w:eastAsia="SimSun" w:hAnsi="Times New Roman"/>
          <w:sz w:val="24"/>
          <w:szCs w:val="24"/>
          <w:lang w:val="kk-KZ"/>
        </w:rPr>
        <w:t>8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трлн. теңге және тоқсандық </w:t>
      </w:r>
      <w:r>
        <w:rPr>
          <w:rFonts w:ascii="Times New Roman" w:eastAsia="SimSun" w:hAnsi="Times New Roman"/>
          <w:sz w:val="24"/>
          <w:szCs w:val="24"/>
          <w:lang w:val="kk-KZ"/>
        </w:rPr>
        <w:t xml:space="preserve">кемуі 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</w:t>
      </w:r>
      <w:r w:rsidRPr="00986CD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113,3 </w:t>
      </w:r>
      <w:r w:rsidRPr="00CF0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. теңге немесе 2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,</w:t>
      </w:r>
      <w:r>
        <w:rPr>
          <w:rFonts w:ascii="Times New Roman" w:eastAsia="SimSun" w:hAnsi="Times New Roman"/>
          <w:sz w:val="24"/>
          <w:szCs w:val="24"/>
          <w:lang w:val="kk-KZ"/>
        </w:rPr>
        <w:t>9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% болатын </w:t>
      </w:r>
      <w:r w:rsidRPr="004C1F06">
        <w:rPr>
          <w:rFonts w:ascii="Times New Roman" w:eastAsia="SimSun" w:hAnsi="Times New Roman"/>
          <w:i/>
          <w:sz w:val="24"/>
          <w:szCs w:val="24"/>
          <w:lang w:val="kk-KZ"/>
        </w:rPr>
        <w:t>мерзімді және шартты салымдардан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,  жалпы үлесі </w:t>
      </w:r>
      <w:r w:rsidR="00A53254">
        <w:rPr>
          <w:rFonts w:ascii="Times New Roman" w:eastAsia="SimSun" w:hAnsi="Times New Roman"/>
          <w:sz w:val="24"/>
          <w:szCs w:val="24"/>
          <w:lang w:val="kk-KZ"/>
        </w:rPr>
        <w:t>10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,</w:t>
      </w:r>
      <w:r w:rsidR="00A53254">
        <w:rPr>
          <w:rFonts w:ascii="Times New Roman" w:eastAsia="SimSun" w:hAnsi="Times New Roman"/>
          <w:sz w:val="24"/>
          <w:szCs w:val="24"/>
          <w:lang w:val="kk-KZ"/>
        </w:rPr>
        <w:t>2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% немесе 43</w:t>
      </w:r>
      <w:r w:rsidR="00A53254">
        <w:rPr>
          <w:rFonts w:ascii="Times New Roman" w:eastAsia="SimSun" w:hAnsi="Times New Roman"/>
          <w:sz w:val="24"/>
          <w:szCs w:val="24"/>
          <w:lang w:val="kk-KZ"/>
        </w:rPr>
        <w:t>8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,</w:t>
      </w:r>
      <w:r w:rsidR="00A53254">
        <w:rPr>
          <w:rFonts w:ascii="Times New Roman" w:eastAsia="SimSun" w:hAnsi="Times New Roman"/>
          <w:sz w:val="24"/>
          <w:szCs w:val="24"/>
          <w:lang w:val="kk-KZ"/>
        </w:rPr>
        <w:t>3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млрд. теңге және тоқсандық кемуі </w:t>
      </w:r>
      <w:r w:rsidR="00A53254" w:rsidRPr="00986CD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21,1 </w:t>
      </w:r>
      <w:r w:rsidR="00A53254" w:rsidRPr="00CF0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 w:rsidR="00A53254" w:rsidRPr="00986CD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="00A53254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 немесе 4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,</w:t>
      </w:r>
      <w:r w:rsidR="00A53254">
        <w:rPr>
          <w:rFonts w:ascii="Times New Roman" w:eastAsia="SimSun" w:hAnsi="Times New Roman"/>
          <w:sz w:val="24"/>
          <w:szCs w:val="24"/>
          <w:lang w:val="kk-KZ"/>
        </w:rPr>
        <w:t>6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% болатын </w:t>
      </w:r>
      <w:r w:rsidRPr="00E97068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 xml:space="preserve">ағымдағы және карт-шоттардағы қалдықтардан, 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сондай-ақ</w:t>
      </w:r>
      <w:r w:rsidRPr="00E97068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 xml:space="preserve"> 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жалпы үлесі 0,</w:t>
      </w:r>
      <w:r w:rsidR="00A53254">
        <w:rPr>
          <w:rFonts w:ascii="Times New Roman" w:eastAsia="SimSun" w:hAnsi="Times New Roman"/>
          <w:sz w:val="24"/>
          <w:szCs w:val="24"/>
          <w:lang w:val="kk-KZ"/>
        </w:rPr>
        <w:t>3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% немесе </w:t>
      </w:r>
      <w:r w:rsidR="00A53254">
        <w:rPr>
          <w:rFonts w:ascii="Times New Roman" w:eastAsia="SimSun" w:hAnsi="Times New Roman"/>
          <w:sz w:val="24"/>
          <w:szCs w:val="24"/>
          <w:lang w:val="kk-KZ"/>
        </w:rPr>
        <w:t>1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3,5 млрд. теңге және тоқсандық </w:t>
      </w:r>
      <w:r w:rsidR="000B32B9">
        <w:rPr>
          <w:rFonts w:ascii="Times New Roman" w:eastAsia="SimSun" w:hAnsi="Times New Roman"/>
          <w:sz w:val="24"/>
          <w:szCs w:val="24"/>
          <w:lang w:val="kk-KZ"/>
        </w:rPr>
        <w:t>кем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уі </w:t>
      </w:r>
      <w:r w:rsidR="000B32B9" w:rsidRPr="00986CD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5,7 </w:t>
      </w:r>
      <w:r w:rsidR="000B32B9" w:rsidRPr="00CF0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 w:rsidR="000B32B9" w:rsidRPr="00986CD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="000B32B9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теңге </w:t>
      </w:r>
      <w:r w:rsidR="004C1F06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немесе</w:t>
      </w:r>
      <w:r w:rsidR="000B32B9" w:rsidRPr="00986CD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="00B6691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29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,</w:t>
      </w:r>
      <w:r w:rsidR="00B66915">
        <w:rPr>
          <w:rFonts w:ascii="Times New Roman" w:eastAsia="SimSun" w:hAnsi="Times New Roman"/>
          <w:sz w:val="24"/>
          <w:szCs w:val="24"/>
          <w:lang w:val="kk-KZ"/>
        </w:rPr>
        <w:t>2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% болатын</w:t>
      </w:r>
      <w:r w:rsidRPr="00E97068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 xml:space="preserve"> талап етілгенге дейінгі салымдардан 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құралған.</w:t>
      </w:r>
    </w:p>
    <w:p w:rsidR="00986CD4" w:rsidRDefault="00986CD4" w:rsidP="00C34211">
      <w:pPr>
        <w:pStyle w:val="afc"/>
        <w:spacing w:line="276" w:lineRule="auto"/>
        <w:rPr>
          <w:rFonts w:ascii="Times New Roman" w:hAnsi="Times New Roman"/>
          <w:b/>
          <w:i/>
          <w:noProof/>
          <w:sz w:val="18"/>
          <w:szCs w:val="18"/>
          <w:lang w:val="en-US" w:eastAsia="ru-RU"/>
        </w:rPr>
      </w:pPr>
    </w:p>
    <w:p w:rsidR="001B1FD7" w:rsidRPr="004C1F06" w:rsidRDefault="001B1FD7" w:rsidP="00C34211">
      <w:pPr>
        <w:pStyle w:val="afc"/>
        <w:spacing w:line="276" w:lineRule="auto"/>
        <w:rPr>
          <w:rFonts w:ascii="Times New Roman" w:hAnsi="Times New Roman"/>
          <w:b/>
          <w:i/>
          <w:noProof/>
          <w:sz w:val="18"/>
          <w:szCs w:val="18"/>
          <w:lang w:val="kk-KZ" w:eastAsia="ru-RU"/>
        </w:rPr>
      </w:pPr>
      <w:r w:rsidRPr="004C1F06">
        <w:rPr>
          <w:rFonts w:ascii="Times New Roman" w:hAnsi="Times New Roman"/>
          <w:b/>
          <w:i/>
          <w:noProof/>
          <w:sz w:val="18"/>
          <w:szCs w:val="18"/>
          <w:lang w:val="kk-KZ" w:eastAsia="ru-RU"/>
        </w:rPr>
        <w:t>Диаграмма 2.</w:t>
      </w:r>
      <w:r w:rsidRPr="004C1F06">
        <w:rPr>
          <w:rFonts w:ascii="Times New Roman" w:eastAsia="Times New Roman" w:hAnsi="Times New Roman"/>
          <w:sz w:val="18"/>
          <w:szCs w:val="18"/>
          <w:lang w:val="kk-KZ" w:eastAsia="it-IT"/>
        </w:rPr>
        <w:t xml:space="preserve"> </w:t>
      </w:r>
      <w:r w:rsidR="004C1F06" w:rsidRPr="004C1F06">
        <w:rPr>
          <w:rFonts w:ascii="Times New Roman" w:eastAsia="Times New Roman" w:hAnsi="Times New Roman"/>
          <w:b/>
          <w:i/>
          <w:sz w:val="18"/>
          <w:szCs w:val="18"/>
          <w:lang w:val="kk-KZ" w:eastAsia="it-IT"/>
        </w:rPr>
        <w:t>Жеке тұлғалар депозиттерінің негізгі категориялар бойынша  құрылымы</w:t>
      </w:r>
      <w:r w:rsidR="004C1F06" w:rsidRPr="004C1F06">
        <w:rPr>
          <w:rFonts w:ascii="Times New Roman" w:hAnsi="Times New Roman"/>
          <w:b/>
          <w:i/>
          <w:noProof/>
          <w:sz w:val="18"/>
          <w:szCs w:val="18"/>
          <w:lang w:val="kk-KZ" w:eastAsia="ru-RU"/>
        </w:rPr>
        <w:t xml:space="preserve"> </w:t>
      </w:r>
      <w:r w:rsidRPr="004C1F06">
        <w:rPr>
          <w:rFonts w:ascii="Times New Roman" w:hAnsi="Times New Roman"/>
          <w:b/>
          <w:i/>
          <w:noProof/>
          <w:sz w:val="18"/>
          <w:szCs w:val="18"/>
          <w:lang w:val="kk-KZ" w:eastAsia="ru-RU"/>
        </w:rPr>
        <w:t>( %</w:t>
      </w:r>
      <w:r w:rsidR="004C1F06">
        <w:rPr>
          <w:rFonts w:ascii="Times New Roman" w:hAnsi="Times New Roman"/>
          <w:b/>
          <w:i/>
          <w:noProof/>
          <w:sz w:val="18"/>
          <w:szCs w:val="18"/>
          <w:lang w:val="kk-KZ" w:eastAsia="ru-RU"/>
        </w:rPr>
        <w:t xml:space="preserve">  бойынша</w:t>
      </w:r>
      <w:r w:rsidRPr="004C1F06">
        <w:rPr>
          <w:rFonts w:ascii="Times New Roman" w:hAnsi="Times New Roman"/>
          <w:b/>
          <w:i/>
          <w:noProof/>
          <w:sz w:val="18"/>
          <w:szCs w:val="18"/>
          <w:lang w:val="kk-KZ" w:eastAsia="ru-RU"/>
        </w:rPr>
        <w:t>)</w:t>
      </w:r>
    </w:p>
    <w:p w:rsidR="001B1FD7" w:rsidRPr="00986CD4" w:rsidRDefault="00FE1D84" w:rsidP="00986CD4">
      <w:pPr>
        <w:spacing w:after="0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3D867C4" wp14:editId="70117AC1">
            <wp:extent cx="5438692" cy="1311965"/>
            <wp:effectExtent l="0" t="0" r="0" b="25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86CD4" w:rsidRPr="00986CD4" w:rsidRDefault="00986CD4" w:rsidP="00986CD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lastRenderedPageBreak/>
        <w:t xml:space="preserve">Мөлшері </w:t>
      </w:r>
      <w:r w:rsidRPr="008C10E7">
        <w:rPr>
          <w:rFonts w:ascii="Times New Roman" w:eastAsia="Times New Roman" w:hAnsi="Times New Roman"/>
          <w:b/>
          <w:i/>
          <w:noProof/>
          <w:sz w:val="24"/>
          <w:szCs w:val="24"/>
          <w:lang w:val="kk-KZ" w:eastAsia="ru-RU"/>
        </w:rPr>
        <w:t>5 млн. теңгеге дейінгі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 w:rsidRPr="008C10E7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>мерзімді және шартты салымдар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қатысушы-банктердің жиынтық қоржынның 30,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3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-тін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(немесе 1</w:t>
      </w:r>
      <w:r w:rsidRPr="00E97068">
        <w:rPr>
          <w:rFonts w:ascii="Times New Roman" w:eastAsia="Times New Roman" w:hAnsi="Times New Roman"/>
          <w:sz w:val="24"/>
          <w:szCs w:val="24"/>
          <w:lang w:val="kk-KZ" w:eastAsia="it-IT"/>
        </w:rPr>
        <w:t>,</w:t>
      </w:r>
      <w:r>
        <w:rPr>
          <w:rFonts w:ascii="Times New Roman" w:eastAsia="Times New Roman" w:hAnsi="Times New Roman"/>
          <w:sz w:val="24"/>
          <w:szCs w:val="24"/>
          <w:lang w:val="kk-KZ" w:eastAsia="it-IT"/>
        </w:rPr>
        <w:t>3</w:t>
      </w:r>
      <w:r w:rsidRPr="00E97068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трлн.</w:t>
      </w:r>
      <w:r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теңгені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құрайды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, ол  тоқсан ішінде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3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,6 млрд. теңгеге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кемід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і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. </w:t>
      </w:r>
      <w:r w:rsidRPr="00E97068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>5млн.-нан 1</w:t>
      </w:r>
      <w:r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>0</w:t>
      </w:r>
      <w:r w:rsidRPr="00E97068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 xml:space="preserve"> млн. теңгеге дейінгі мерзімді салымдар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қарастырылып отырған мерзім ішінде 1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4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,0 млрд. теңгеге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өсіп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392,4 млрд. теңгені (немесе 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жиынтық қоржынның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9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1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-тін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құрады. 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Бұл категория бойынша депозиттер өсімі шетел валютасымен салынған депозиттерде байқалады  </w:t>
      </w:r>
      <w:r w:rsidRPr="0050063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(+13,1 млрд.). </w:t>
      </w:r>
    </w:p>
    <w:p w:rsidR="00733074" w:rsidRDefault="008C10E7" w:rsidP="00131520">
      <w:pPr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8C10E7">
        <w:rPr>
          <w:rFonts w:ascii="Times New Roman" w:eastAsia="Times New Roman" w:hAnsi="Times New Roman"/>
          <w:b/>
          <w:i/>
          <w:noProof/>
          <w:sz w:val="24"/>
          <w:szCs w:val="24"/>
          <w:lang w:val="kk-KZ" w:eastAsia="ru-RU"/>
        </w:rPr>
        <w:t>10</w:t>
      </w:r>
      <w:r w:rsidR="00B66915">
        <w:rPr>
          <w:rFonts w:ascii="Times New Roman" w:eastAsia="Times New Roman" w:hAnsi="Times New Roman"/>
          <w:b/>
          <w:i/>
          <w:noProof/>
          <w:sz w:val="24"/>
          <w:szCs w:val="24"/>
          <w:lang w:val="kk-KZ" w:eastAsia="ru-RU"/>
        </w:rPr>
        <w:t xml:space="preserve"> млн.-нан 15 </w:t>
      </w:r>
      <w:r w:rsidRPr="008C10E7">
        <w:rPr>
          <w:rFonts w:ascii="Times New Roman" w:eastAsia="Times New Roman" w:hAnsi="Times New Roman"/>
          <w:b/>
          <w:i/>
          <w:noProof/>
          <w:sz w:val="24"/>
          <w:szCs w:val="24"/>
          <w:lang w:val="kk-KZ" w:eastAsia="ru-RU"/>
        </w:rPr>
        <w:t>млн.</w:t>
      </w:r>
      <w:r w:rsidRPr="00E97068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 xml:space="preserve"> </w:t>
      </w:r>
      <w:r w:rsidRPr="008C10E7">
        <w:rPr>
          <w:rFonts w:ascii="Times New Roman" w:eastAsia="Times New Roman" w:hAnsi="Times New Roman"/>
          <w:b/>
          <w:i/>
          <w:noProof/>
          <w:sz w:val="24"/>
          <w:szCs w:val="24"/>
          <w:lang w:val="kk-KZ" w:eastAsia="ru-RU"/>
        </w:rPr>
        <w:t>теңгеге дейінгі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 w:rsidRPr="008C10E7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>мерзімді және шартты салымдар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 w:rsidR="003A4AB3" w:rsidRPr="003A4AB3">
        <w:rPr>
          <w:rFonts w:ascii="Times New Roman" w:eastAsia="Times New Roman" w:hAnsi="Times New Roman"/>
          <w:sz w:val="24"/>
          <w:szCs w:val="24"/>
          <w:lang w:val="kk-KZ" w:eastAsia="ru-RU"/>
        </w:rPr>
        <w:t>152,4 млрд</w:t>
      </w:r>
      <w:r w:rsidR="003A4A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теңгені құрайды немесе 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ж</w:t>
      </w:r>
      <w:r w:rsidR="00625A2E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еке тұлғалар депозиттерінің жалпы қорының </w:t>
      </w:r>
      <w:r w:rsidR="003A4AB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3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,</w:t>
      </w:r>
      <w:r w:rsidR="003A4AB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5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%</w:t>
      </w:r>
      <w:r w:rsidR="003A4AB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-ін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құра</w:t>
      </w:r>
      <w:r w:rsidR="003A4AB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й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ды. </w:t>
      </w:r>
      <w:r w:rsidR="00935AEA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Бұл салымдар өсімі айтарлықтай көп емес, ол </w:t>
      </w:r>
      <w:r w:rsidR="00935AEA" w:rsidRPr="00935AE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0,6 млрд. </w:t>
      </w:r>
      <w:r w:rsidR="00935AE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теңгені құрайды және </w:t>
      </w:r>
      <w:r w:rsidR="00131520">
        <w:rPr>
          <w:rFonts w:ascii="Times New Roman" w:eastAsia="Times New Roman" w:hAnsi="Times New Roman"/>
          <w:sz w:val="24"/>
          <w:szCs w:val="24"/>
          <w:lang w:val="kk-KZ" w:eastAsia="ru-RU"/>
        </w:rPr>
        <w:t>өсім ұ</w:t>
      </w:r>
      <w:r w:rsidR="003A4AB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лттық валюта бойынша депозиттердің өс</w:t>
      </w:r>
      <w:r w:rsidR="00131520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у</w:t>
      </w:r>
      <w:r w:rsidR="003A4AB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інің арқасында</w:t>
      </w:r>
      <w:r w:rsidR="00131520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болды.</w:t>
      </w:r>
      <w:r w:rsidR="003A4AB3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 </w:t>
      </w:r>
    </w:p>
    <w:p w:rsidR="00E92351" w:rsidRPr="000A2684" w:rsidRDefault="00131520" w:rsidP="00131520">
      <w:pPr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Жеке тұлғалар депозиттерінің жалпы қорының 46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5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-і </w:t>
      </w:r>
      <w:r w:rsidR="008C10E7" w:rsidRPr="00370535">
        <w:rPr>
          <w:rFonts w:ascii="Times New Roman" w:eastAsia="Times New Roman" w:hAnsi="Times New Roman"/>
          <w:b/>
          <w:i/>
          <w:noProof/>
          <w:sz w:val="24"/>
          <w:szCs w:val="24"/>
          <w:lang w:val="kk-KZ" w:eastAsia="ru-RU"/>
        </w:rPr>
        <w:t>15 млн. теңгеден  жоғары</w:t>
      </w:r>
      <w:r w:rsidR="008C10E7" w:rsidRPr="00E97068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 xml:space="preserve"> мерзімді және шартты салымдар</w:t>
      </w:r>
      <w:r w:rsidR="00E92351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 xml:space="preserve">дан </w:t>
      </w:r>
      <w:r w:rsidR="00E92351" w:rsidRPr="00E92351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тұрады.</w:t>
      </w:r>
      <w:r w:rsidR="00E92351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 xml:space="preserve"> </w:t>
      </w:r>
      <w:r w:rsidR="000A2684" w:rsidRPr="00B8275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Шетел валютасымен салынған </w:t>
      </w:r>
      <w:r w:rsidR="00B8275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жалпы мөлшері 129,3 млрд. теңге болатын </w:t>
      </w:r>
      <w:r w:rsidR="000A2684" w:rsidRPr="00B8275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депозитті</w:t>
      </w:r>
      <w:r w:rsidR="00B82756" w:rsidRPr="00B8275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алып, </w:t>
      </w:r>
      <w:r w:rsidR="00B8275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бір уақытта ұлттық валютадағы </w:t>
      </w:r>
      <w:r w:rsidR="005A53CA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5,0 млрд. теңге болатын </w:t>
      </w:r>
      <w:r w:rsidR="00B8275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салым</w:t>
      </w:r>
      <w:r w:rsidR="005A53CA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ның орналастыруының </w:t>
      </w:r>
      <w:r w:rsidR="00B8275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нәтижесінде </w:t>
      </w:r>
      <w:r w:rsidR="005A53CA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б</w:t>
      </w:r>
      <w:r w:rsidR="00167528" w:rsidRPr="00B8275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ұл</w:t>
      </w:r>
      <w:r w:rsidR="00167528" w:rsidRPr="0016752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салым бойынша жалпы </w:t>
      </w:r>
      <w:r w:rsidR="000A2684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кемудің </w:t>
      </w:r>
      <w:r w:rsidR="00167528" w:rsidRPr="0016752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мөлшері </w:t>
      </w:r>
      <w:r w:rsidR="000A2684" w:rsidRPr="000A2684">
        <w:rPr>
          <w:rFonts w:ascii="Times New Roman" w:eastAsia="Times New Roman" w:hAnsi="Times New Roman"/>
          <w:sz w:val="24"/>
          <w:szCs w:val="24"/>
          <w:lang w:val="kk-KZ" w:eastAsia="ru-RU"/>
        </w:rPr>
        <w:t>124,3 млрд.</w:t>
      </w:r>
      <w:r w:rsidR="000A268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теңге болды</w:t>
      </w:r>
      <w:r w:rsidR="005A53CA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5E4C4B" w:rsidRDefault="0082678B" w:rsidP="005E4C4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Жеке тұлғалар депозиттерінің қоржынының 0,3</w:t>
      </w:r>
      <w:r w:rsidRPr="00E97068">
        <w:rPr>
          <w:rFonts w:ascii="Times New Roman" w:eastAsia="Times New Roman" w:hAnsi="Times New Roman"/>
          <w:sz w:val="24"/>
          <w:szCs w:val="24"/>
          <w:lang w:val="kk-KZ" w:eastAsia="it-IT"/>
        </w:rPr>
        <w:t>%</w:t>
      </w:r>
      <w:r>
        <w:rPr>
          <w:rFonts w:ascii="Times New Roman" w:eastAsia="Times New Roman" w:hAnsi="Times New Roman"/>
          <w:sz w:val="24"/>
          <w:szCs w:val="24"/>
          <w:lang w:val="kk-KZ" w:eastAsia="it-IT"/>
        </w:rPr>
        <w:t>-ін құрайтын х</w:t>
      </w:r>
      <w:r w:rsidR="008C10E7"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алықтың </w:t>
      </w:r>
      <w:r w:rsidR="008C10E7" w:rsidRPr="00E97068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>талап етілгенге дейінгі салымдары</w:t>
      </w:r>
      <w:r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>ның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кемуі </w:t>
      </w:r>
      <w:r w:rsidR="005836F9" w:rsidRPr="005836F9">
        <w:rPr>
          <w:rFonts w:ascii="Times New Roman" w:eastAsia="Times New Roman" w:hAnsi="Times New Roman"/>
          <w:sz w:val="24"/>
          <w:szCs w:val="24"/>
          <w:lang w:val="kk-KZ" w:eastAsia="ru-RU"/>
        </w:rPr>
        <w:t>5,7 млрд</w:t>
      </w:r>
      <w:r w:rsidR="005836F9">
        <w:rPr>
          <w:rFonts w:ascii="Times New Roman" w:eastAsia="Times New Roman" w:hAnsi="Times New Roman"/>
          <w:sz w:val="24"/>
          <w:szCs w:val="24"/>
          <w:lang w:val="kk-KZ" w:eastAsia="ru-RU"/>
        </w:rPr>
        <w:t>. теңгені</w:t>
      </w:r>
      <w:r w:rsidR="005836F9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it-IT"/>
        </w:rPr>
        <w:t>(-</w:t>
      </w:r>
      <w:r w:rsidR="008C10E7"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9</w:t>
      </w:r>
      <w:r w:rsidR="008C10E7" w:rsidRPr="00E97068">
        <w:rPr>
          <w:rFonts w:ascii="Times New Roman" w:eastAsia="Times New Roman" w:hAnsi="Times New Roman"/>
          <w:sz w:val="24"/>
          <w:szCs w:val="24"/>
          <w:lang w:val="kk-KZ" w:eastAsia="it-IT"/>
        </w:rPr>
        <w:t>,</w:t>
      </w:r>
      <w:r>
        <w:rPr>
          <w:rFonts w:ascii="Times New Roman" w:eastAsia="Times New Roman" w:hAnsi="Times New Roman"/>
          <w:sz w:val="24"/>
          <w:szCs w:val="24"/>
          <w:lang w:val="kk-KZ" w:eastAsia="it-IT"/>
        </w:rPr>
        <w:t>2</w:t>
      </w:r>
      <w:r w:rsidR="005836F9" w:rsidRPr="00E97068">
        <w:rPr>
          <w:rFonts w:ascii="Times New Roman" w:eastAsia="Times New Roman" w:hAnsi="Times New Roman"/>
          <w:sz w:val="24"/>
          <w:szCs w:val="24"/>
          <w:lang w:val="kk-KZ" w:eastAsia="it-IT"/>
        </w:rPr>
        <w:t>%</w:t>
      </w:r>
      <w:r>
        <w:rPr>
          <w:rFonts w:ascii="Times New Roman" w:eastAsia="Times New Roman" w:hAnsi="Times New Roman"/>
          <w:sz w:val="24"/>
          <w:szCs w:val="24"/>
          <w:lang w:val="kk-KZ" w:eastAsia="it-IT"/>
        </w:rPr>
        <w:t>)</w:t>
      </w:r>
      <w:r w:rsidR="005836F9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құрайды. Бұл өзгеріс </w:t>
      </w:r>
      <w:r w:rsidR="005E4C4B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ұлттық валюта </w:t>
      </w:r>
      <w:r w:rsidR="005836F9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</w:t>
      </w:r>
      <w:r w:rsidR="005E4C4B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бойынша салымның </w:t>
      </w:r>
      <w:r w:rsidR="005E4C4B" w:rsidRPr="001D530E">
        <w:rPr>
          <w:rFonts w:ascii="Times New Roman" w:eastAsia="Times New Roman" w:hAnsi="Times New Roman"/>
          <w:sz w:val="24"/>
          <w:szCs w:val="24"/>
          <w:lang w:val="kk-KZ" w:eastAsia="ru-RU"/>
        </w:rPr>
        <w:t>4,9 млрд.</w:t>
      </w:r>
      <w:r w:rsidR="005E4C4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</w:t>
      </w:r>
      <w:r w:rsidR="005E4C4B" w:rsidRPr="001D530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1D530E">
        <w:rPr>
          <w:rFonts w:ascii="Times New Roman" w:eastAsia="Times New Roman" w:hAnsi="Times New Roman"/>
          <w:sz w:val="24"/>
          <w:szCs w:val="24"/>
          <w:lang w:val="kk-KZ" w:eastAsia="ru-RU"/>
        </w:rPr>
        <w:t>ш</w:t>
      </w:r>
      <w:r w:rsidR="005E4C4B" w:rsidRPr="00B82756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етел валютасы</w:t>
      </w:r>
      <w:r w:rsidR="001D530E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бойынша салымның </w:t>
      </w:r>
      <w:r w:rsidR="005E4C4B" w:rsidRPr="001D530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0,8 млрд. </w:t>
      </w:r>
      <w:r w:rsidR="001D530E">
        <w:rPr>
          <w:rFonts w:ascii="Times New Roman" w:eastAsia="Times New Roman" w:hAnsi="Times New Roman"/>
          <w:sz w:val="24"/>
          <w:szCs w:val="24"/>
          <w:lang w:val="kk-KZ" w:eastAsia="ru-RU"/>
        </w:rPr>
        <w:t>теңгеге кемуіне байланысты.</w:t>
      </w:r>
    </w:p>
    <w:p w:rsidR="00BA350B" w:rsidRPr="00986CD4" w:rsidRDefault="008C10E7" w:rsidP="00986CD4">
      <w:pPr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E97068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>Ағымдағы және карт-шоттардағы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 w:rsidRPr="00370535">
        <w:rPr>
          <w:rFonts w:ascii="Times New Roman" w:eastAsia="Times New Roman" w:hAnsi="Times New Roman"/>
          <w:i/>
          <w:noProof/>
          <w:sz w:val="24"/>
          <w:szCs w:val="24"/>
          <w:lang w:val="kk-KZ" w:eastAsia="ru-RU"/>
        </w:rPr>
        <w:t>жиынтық қалдықтары</w:t>
      </w:r>
      <w:r w:rsidR="00F46974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бойынша да алдыңғы категориялар сияқты </w:t>
      </w:r>
      <w:r w:rsidR="00F46974" w:rsidRPr="00F46974">
        <w:rPr>
          <w:rFonts w:ascii="Times New Roman" w:eastAsia="Times New Roman" w:hAnsi="Times New Roman"/>
          <w:sz w:val="24"/>
          <w:szCs w:val="24"/>
          <w:lang w:val="kk-KZ" w:eastAsia="ru-RU"/>
        </w:rPr>
        <w:t>21,1 млрд. (-4,6%)</w:t>
      </w:r>
      <w:r w:rsidR="00F4697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көлемінде </w:t>
      </w:r>
      <w:r w:rsidR="00F46974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теріс өзгеріс орын алды.  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 w:rsidR="00F46974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Сондай-ақ </w:t>
      </w:r>
      <w:r w:rsidR="00FA3B57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шетел валютасы бойынша шоттағы қалдықтар 28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,</w:t>
      </w:r>
      <w:r w:rsidR="00FA3B57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4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млрд. теңгеге</w:t>
      </w:r>
      <w:r w:rsidR="00FA3B57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өсті,</w:t>
      </w:r>
      <w:r w:rsidR="001D530E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 w:rsidR="00FA3B57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ал ұлттық валюта </w:t>
      </w:r>
      <w:r w:rsidR="00FA3B57">
        <w:rPr>
          <w:rFonts w:ascii="Times New Roman" w:eastAsia="Times New Roman" w:hAnsi="Times New Roman"/>
          <w:sz w:val="24"/>
          <w:szCs w:val="24"/>
          <w:lang w:val="kk-KZ" w:eastAsia="it-IT"/>
        </w:rPr>
        <w:t xml:space="preserve"> </w:t>
      </w:r>
      <w:r w:rsidR="00FA3B57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бойынша 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 w:rsidR="00604C47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49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,</w:t>
      </w:r>
      <w:r w:rsidR="00604C47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5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млрд. теңге</w:t>
      </w:r>
      <w:r w:rsidR="00604C47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ге қысқарды</w:t>
      </w:r>
      <w:r w:rsidRPr="00E9706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. </w:t>
      </w:r>
    </w:p>
    <w:p w:rsidR="00CC5139" w:rsidRPr="00783616" w:rsidRDefault="008663B6" w:rsidP="00CC513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97068">
        <w:rPr>
          <w:rFonts w:ascii="Times New Roman" w:hAnsi="Times New Roman"/>
          <w:sz w:val="24"/>
          <w:szCs w:val="24"/>
          <w:lang w:val="kk-KZ"/>
        </w:rPr>
        <w:t xml:space="preserve">Екінші деңгейдегі банктердегі жеке тұлғалардың депозиттері бойынша Қор өтеуге қажетті кепілдік берілген өтемнің мөлшері </w:t>
      </w:r>
      <w:r w:rsidRPr="00733074">
        <w:rPr>
          <w:rFonts w:ascii="Times New Roman" w:hAnsi="Times New Roman"/>
          <w:b/>
          <w:i/>
          <w:sz w:val="24"/>
          <w:szCs w:val="24"/>
          <w:lang w:val="kk-KZ"/>
        </w:rPr>
        <w:t>2015 жылдың 1 сәуіріндегі</w:t>
      </w:r>
      <w:r w:rsidRPr="00E97068">
        <w:rPr>
          <w:rFonts w:ascii="Times New Roman" w:hAnsi="Times New Roman"/>
          <w:sz w:val="24"/>
          <w:szCs w:val="24"/>
          <w:lang w:val="kk-KZ"/>
        </w:rPr>
        <w:t xml:space="preserve"> жағдайы бойынша 2,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E97068">
        <w:rPr>
          <w:rFonts w:ascii="Times New Roman" w:hAnsi="Times New Roman"/>
          <w:sz w:val="24"/>
          <w:szCs w:val="24"/>
          <w:lang w:val="kk-KZ"/>
        </w:rPr>
        <w:t xml:space="preserve"> трлн. теңгеге жетті. Сонымен бірге, есеп беретін күнге тоқсандағы Қордың арнайы резерві Қордың жарғылық капиталының қаражатын есептемегенде </w:t>
      </w:r>
      <w:r>
        <w:rPr>
          <w:rFonts w:ascii="Times New Roman" w:hAnsi="Times New Roman"/>
          <w:sz w:val="24"/>
          <w:szCs w:val="24"/>
          <w:lang w:val="kk-KZ"/>
        </w:rPr>
        <w:t>222</w:t>
      </w:r>
      <w:r w:rsidRPr="00E97068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E97068">
        <w:rPr>
          <w:rFonts w:ascii="Times New Roman" w:hAnsi="Times New Roman"/>
          <w:sz w:val="24"/>
          <w:szCs w:val="24"/>
          <w:lang w:val="kk-KZ"/>
        </w:rPr>
        <w:t xml:space="preserve"> млрд. теңгені құрады. Заңнама бойынша, Қордың арнайы резервінің тапшылығы кезінде Қор акционерінің рұқсатымен Қордың жарғылық капиталының 70% қолдануға болады. Осылайша, есеп беретін күнге Қордың арнайы резервінің максималды мүмкін мөлшері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E97068">
        <w:rPr>
          <w:rFonts w:ascii="Times New Roman" w:hAnsi="Times New Roman"/>
          <w:sz w:val="24"/>
          <w:szCs w:val="24"/>
          <w:lang w:val="kk-KZ"/>
        </w:rPr>
        <w:t>27,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E97068">
        <w:rPr>
          <w:rFonts w:ascii="Times New Roman" w:hAnsi="Times New Roman"/>
          <w:sz w:val="24"/>
          <w:szCs w:val="24"/>
          <w:lang w:val="kk-KZ"/>
        </w:rPr>
        <w:t xml:space="preserve"> млрд. теңгені </w:t>
      </w:r>
      <w:r>
        <w:rPr>
          <w:rFonts w:ascii="Times New Roman" w:hAnsi="Times New Roman"/>
          <w:sz w:val="24"/>
          <w:szCs w:val="24"/>
          <w:lang w:val="kk-KZ"/>
        </w:rPr>
        <w:t xml:space="preserve">немесе </w:t>
      </w:r>
      <w:r w:rsidR="00CC5139" w:rsidRPr="00783616">
        <w:rPr>
          <w:rFonts w:ascii="Times New Roman" w:hAnsi="Times New Roman"/>
          <w:sz w:val="24"/>
          <w:szCs w:val="24"/>
          <w:lang w:val="kk-KZ"/>
        </w:rPr>
        <w:t>кепіл берілетін жиынтық соманың 1</w:t>
      </w:r>
      <w:r w:rsidR="00CC5139">
        <w:rPr>
          <w:rFonts w:ascii="Times New Roman" w:hAnsi="Times New Roman"/>
          <w:sz w:val="24"/>
          <w:szCs w:val="24"/>
          <w:lang w:val="kk-KZ"/>
        </w:rPr>
        <w:t>4</w:t>
      </w:r>
      <w:r w:rsidR="00CC5139" w:rsidRPr="00783616">
        <w:rPr>
          <w:rFonts w:ascii="Times New Roman" w:hAnsi="Times New Roman"/>
          <w:sz w:val="24"/>
          <w:szCs w:val="24"/>
          <w:lang w:val="kk-KZ"/>
        </w:rPr>
        <w:t>,</w:t>
      </w:r>
      <w:r w:rsidR="00CC5139">
        <w:rPr>
          <w:rFonts w:ascii="Times New Roman" w:hAnsi="Times New Roman"/>
          <w:sz w:val="24"/>
          <w:szCs w:val="24"/>
          <w:lang w:val="kk-KZ"/>
        </w:rPr>
        <w:t>7</w:t>
      </w:r>
      <w:r w:rsidR="00CC5139" w:rsidRPr="00783616">
        <w:rPr>
          <w:rFonts w:ascii="Times New Roman" w:hAnsi="Times New Roman"/>
          <w:sz w:val="24"/>
          <w:szCs w:val="24"/>
          <w:lang w:val="kk-KZ"/>
        </w:rPr>
        <w:t>%-ін және жалпы депозиттер</w:t>
      </w:r>
      <w:r w:rsidR="00CC5139">
        <w:rPr>
          <w:rFonts w:ascii="Times New Roman" w:hAnsi="Times New Roman"/>
          <w:sz w:val="24"/>
          <w:szCs w:val="24"/>
          <w:lang w:val="kk-KZ"/>
        </w:rPr>
        <w:t xml:space="preserve"> сомасының</w:t>
      </w:r>
      <w:r w:rsidR="00CC5139" w:rsidRPr="0078361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C5139">
        <w:rPr>
          <w:rFonts w:ascii="Times New Roman" w:hAnsi="Times New Roman"/>
          <w:sz w:val="24"/>
          <w:szCs w:val="24"/>
          <w:lang w:val="kk-KZ"/>
        </w:rPr>
        <w:t>7</w:t>
      </w:r>
      <w:r w:rsidR="00CC5139" w:rsidRPr="00783616">
        <w:rPr>
          <w:rFonts w:ascii="Times New Roman" w:hAnsi="Times New Roman"/>
          <w:sz w:val="24"/>
          <w:szCs w:val="24"/>
          <w:lang w:val="kk-KZ"/>
        </w:rPr>
        <w:t>,</w:t>
      </w:r>
      <w:r w:rsidR="00CC5139">
        <w:rPr>
          <w:rFonts w:ascii="Times New Roman" w:hAnsi="Times New Roman"/>
          <w:sz w:val="24"/>
          <w:szCs w:val="24"/>
          <w:lang w:val="kk-KZ"/>
        </w:rPr>
        <w:t>6</w:t>
      </w:r>
      <w:r w:rsidR="00CC5139" w:rsidRPr="00783616">
        <w:rPr>
          <w:rFonts w:ascii="Times New Roman" w:hAnsi="Times New Roman"/>
          <w:sz w:val="24"/>
          <w:szCs w:val="24"/>
          <w:lang w:val="kk-KZ"/>
        </w:rPr>
        <w:t>%-ін құрайды.</w:t>
      </w:r>
    </w:p>
    <w:p w:rsidR="00637C06" w:rsidRDefault="00CC5139" w:rsidP="00CC513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2015 жылдың 1-тоқсанының қорытындысы бойынша 5 </w:t>
      </w:r>
      <w:r w:rsidRPr="00E97068">
        <w:rPr>
          <w:rFonts w:ascii="Times New Roman" w:hAnsi="Times New Roman"/>
          <w:sz w:val="24"/>
          <w:szCs w:val="24"/>
          <w:lang w:val="kk-KZ"/>
        </w:rPr>
        <w:t>қатысушы банк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7068">
        <w:rPr>
          <w:rFonts w:ascii="Times New Roman" w:hAnsi="Times New Roman"/>
          <w:sz w:val="24"/>
          <w:szCs w:val="24"/>
          <w:lang w:val="kk-KZ"/>
        </w:rPr>
        <w:t xml:space="preserve"> «БАТА»</w:t>
      </w:r>
      <w:r w:rsidR="00685E0E">
        <w:rPr>
          <w:rStyle w:val="a7"/>
          <w:rFonts w:ascii="Times New Roman" w:hAnsi="Times New Roman"/>
          <w:sz w:val="24"/>
          <w:szCs w:val="24"/>
          <w:lang w:val="kk-KZ"/>
        </w:rPr>
        <w:footnoteReference w:id="1"/>
      </w:r>
      <w:r w:rsidRPr="00E97068">
        <w:rPr>
          <w:rFonts w:ascii="Times New Roman" w:hAnsi="Times New Roman"/>
          <w:sz w:val="24"/>
          <w:szCs w:val="24"/>
          <w:lang w:val="kk-KZ"/>
        </w:rPr>
        <w:t xml:space="preserve"> міндетті күнтізбелік сараланған жарналар мөлшерлемелерін есептеу жүйесіне </w:t>
      </w:r>
      <w:r>
        <w:rPr>
          <w:rFonts w:ascii="Times New Roman" w:hAnsi="Times New Roman"/>
          <w:sz w:val="24"/>
          <w:szCs w:val="24"/>
          <w:lang w:val="kk-KZ"/>
        </w:rPr>
        <w:t xml:space="preserve">(әрі қарай СЕЖ </w:t>
      </w:r>
      <w:r w:rsidR="00685E0E">
        <w:rPr>
          <w:rFonts w:ascii="Times New Roman" w:hAnsi="Times New Roman"/>
          <w:sz w:val="24"/>
          <w:szCs w:val="24"/>
          <w:lang w:val="kk-KZ"/>
        </w:rPr>
        <w:t>«БАТА»</w:t>
      </w:r>
      <w:r w:rsidR="00685E0E">
        <w:rPr>
          <w:rStyle w:val="a7"/>
          <w:rFonts w:ascii="Times New Roman" w:hAnsi="Times New Roman"/>
          <w:sz w:val="24"/>
          <w:szCs w:val="24"/>
          <w:lang w:val="kk-KZ"/>
        </w:rPr>
        <w:footnoteReference w:id="2"/>
      </w:r>
      <w:r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E97068">
        <w:rPr>
          <w:rFonts w:ascii="Times New Roman" w:hAnsi="Times New Roman"/>
          <w:sz w:val="24"/>
          <w:szCs w:val="24"/>
          <w:lang w:val="kk-KZ"/>
        </w:rPr>
        <w:t xml:space="preserve">сәйкес </w:t>
      </w:r>
      <w:r>
        <w:rPr>
          <w:rFonts w:ascii="Times New Roman" w:hAnsi="Times New Roman"/>
          <w:sz w:val="24"/>
          <w:szCs w:val="24"/>
          <w:lang w:val="kk-KZ"/>
        </w:rPr>
        <w:t xml:space="preserve"> өздерінің топтық ретін өзгертті. </w:t>
      </w:r>
      <w:r w:rsidR="00637C06" w:rsidRPr="00E97068">
        <w:rPr>
          <w:rFonts w:ascii="Times New Roman" w:hAnsi="Times New Roman"/>
          <w:sz w:val="24"/>
          <w:szCs w:val="24"/>
          <w:lang w:val="kk-KZ"/>
        </w:rPr>
        <w:t xml:space="preserve">2 банктің көрсеткіштері </w:t>
      </w:r>
      <w:r w:rsidR="00637C06">
        <w:rPr>
          <w:rFonts w:ascii="Times New Roman" w:hAnsi="Times New Roman"/>
          <w:sz w:val="24"/>
          <w:szCs w:val="24"/>
          <w:lang w:val="kk-KZ"/>
        </w:rPr>
        <w:t>жақсарып</w:t>
      </w:r>
      <w:r w:rsidR="00637C06" w:rsidRPr="00E97068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637C06">
        <w:rPr>
          <w:rFonts w:ascii="Times New Roman" w:hAnsi="Times New Roman"/>
          <w:sz w:val="24"/>
          <w:szCs w:val="24"/>
          <w:lang w:val="kk-KZ"/>
        </w:rPr>
        <w:t xml:space="preserve">тәуекелі төмендеу жіктеу топтарына </w:t>
      </w:r>
      <w:r w:rsidR="00637C06" w:rsidRPr="00E97068">
        <w:rPr>
          <w:rFonts w:ascii="Times New Roman" w:hAnsi="Times New Roman"/>
          <w:sz w:val="24"/>
          <w:szCs w:val="24"/>
          <w:lang w:val="kk-KZ"/>
        </w:rPr>
        <w:t>көшті</w:t>
      </w:r>
      <w:r w:rsidR="00DF2A06">
        <w:rPr>
          <w:rFonts w:ascii="Times New Roman" w:hAnsi="Times New Roman"/>
          <w:sz w:val="24"/>
          <w:szCs w:val="24"/>
          <w:lang w:val="kk-KZ"/>
        </w:rPr>
        <w:t>. 3</w:t>
      </w:r>
      <w:r w:rsidR="00637C06" w:rsidRPr="00E97068">
        <w:rPr>
          <w:rFonts w:ascii="Times New Roman" w:hAnsi="Times New Roman"/>
          <w:sz w:val="24"/>
          <w:szCs w:val="24"/>
          <w:lang w:val="kk-KZ"/>
        </w:rPr>
        <w:t xml:space="preserve"> қатысушы банк</w:t>
      </w:r>
      <w:r w:rsidR="00DF2A06">
        <w:rPr>
          <w:rFonts w:ascii="Times New Roman" w:hAnsi="Times New Roman"/>
          <w:sz w:val="24"/>
          <w:szCs w:val="24"/>
          <w:lang w:val="kk-KZ"/>
        </w:rPr>
        <w:t xml:space="preserve"> депозиттер бойынша максимальды сыйақы </w:t>
      </w:r>
      <w:r w:rsidR="003673C4">
        <w:rPr>
          <w:rFonts w:ascii="Times New Roman" w:hAnsi="Times New Roman"/>
          <w:sz w:val="24"/>
          <w:szCs w:val="24"/>
          <w:lang w:val="kk-KZ"/>
        </w:rPr>
        <w:t>мөлшері</w:t>
      </w:r>
      <w:r w:rsidR="00350FF4">
        <w:rPr>
          <w:rFonts w:ascii="Times New Roman" w:hAnsi="Times New Roman"/>
          <w:sz w:val="24"/>
          <w:szCs w:val="24"/>
          <w:lang w:val="kk-KZ"/>
        </w:rPr>
        <w:t xml:space="preserve">н бұзуына байланысты </w:t>
      </w:r>
      <w:r w:rsidR="00DF2A06">
        <w:rPr>
          <w:rFonts w:ascii="Times New Roman" w:hAnsi="Times New Roman"/>
          <w:sz w:val="24"/>
          <w:szCs w:val="24"/>
          <w:lang w:val="kk-KZ"/>
        </w:rPr>
        <w:t>нәтижелері нашарлап,</w:t>
      </w:r>
      <w:r w:rsidR="00637C06" w:rsidRPr="00E9706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37C06"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«S» жіктеу тобына анықталды.</w:t>
      </w:r>
    </w:p>
    <w:p w:rsidR="00CC5139" w:rsidRDefault="00CC5139" w:rsidP="00CC51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Нәтижесінде жіктеу топтарындағы банктердің үлесі келесідей: «A» тобының үлесі -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4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% 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банк), «B» тобының үлесі 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18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9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% 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7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банк), «C» тобының үлесі - 4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0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% (1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банк), «D» тобының үлесі - 2</w:t>
      </w:r>
      <w:r w:rsidR="00951A64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="00951A64">
        <w:rPr>
          <w:rFonts w:ascii="Times New Roman" w:eastAsia="Times New Roman" w:hAnsi="Times New Roman"/>
          <w:sz w:val="24"/>
          <w:szCs w:val="24"/>
          <w:lang w:val="kk-KZ" w:eastAsia="ru-RU"/>
        </w:rPr>
        <w:t>6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% (</w:t>
      </w:r>
      <w:r w:rsidR="00951A64">
        <w:rPr>
          <w:rFonts w:ascii="Times New Roman" w:eastAsia="Times New Roman" w:hAnsi="Times New Roman"/>
          <w:sz w:val="24"/>
          <w:szCs w:val="24"/>
          <w:lang w:val="kk-KZ" w:eastAsia="ru-RU"/>
        </w:rPr>
        <w:t>8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банк), «Е» тобының үлесі 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4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% 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банк</w:t>
      </w:r>
      <w:r w:rsidRPr="00E97068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)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«S» тобының үлесі - </w:t>
      </w:r>
      <w:r w:rsidR="00951A64">
        <w:rPr>
          <w:rFonts w:ascii="Times New Roman" w:eastAsia="Times New Roman" w:hAnsi="Times New Roman"/>
          <w:sz w:val="24"/>
          <w:szCs w:val="24"/>
          <w:lang w:val="kk-KZ" w:eastAsia="ru-RU"/>
        </w:rPr>
        <w:t>8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="00951A64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Pr="00E97068">
        <w:rPr>
          <w:rFonts w:ascii="Times New Roman" w:eastAsia="Times New Roman" w:hAnsi="Times New Roman"/>
          <w:sz w:val="24"/>
          <w:szCs w:val="24"/>
          <w:lang w:val="kk-KZ" w:eastAsia="ru-RU"/>
        </w:rPr>
        <w:t>% (</w:t>
      </w:r>
      <w:r w:rsidR="00951A64"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  <w:r w:rsidRPr="00E97068">
        <w:rPr>
          <w:rFonts w:ascii="Times New Roman" w:hAnsi="Times New Roman"/>
          <w:color w:val="000000"/>
          <w:sz w:val="24"/>
          <w:szCs w:val="24"/>
          <w:lang w:val="kk-KZ"/>
        </w:rPr>
        <w:t xml:space="preserve"> банк).</w:t>
      </w:r>
    </w:p>
    <w:p w:rsidR="00734521" w:rsidRDefault="00734521" w:rsidP="0073452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2015 жылдың 1-тоқсанында қатысушы банктердің алдыңғы кезеңмен салыстырғанда </w:t>
      </w:r>
      <w:r w:rsidR="00882059">
        <w:rPr>
          <w:rFonts w:ascii="Times New Roman" w:hAnsi="Times New Roman"/>
          <w:sz w:val="24"/>
          <w:szCs w:val="24"/>
          <w:lang w:val="kk-KZ"/>
        </w:rPr>
        <w:t xml:space="preserve">қатысушы банк </w:t>
      </w:r>
      <w:r w:rsidRPr="00E97068">
        <w:rPr>
          <w:rFonts w:ascii="Times New Roman" w:hAnsi="Times New Roman"/>
          <w:sz w:val="24"/>
          <w:szCs w:val="24"/>
          <w:lang w:val="kk-KZ"/>
        </w:rPr>
        <w:t>жеке тұлғалар</w:t>
      </w:r>
      <w:r w:rsidR="00882059">
        <w:rPr>
          <w:rFonts w:ascii="Times New Roman" w:hAnsi="Times New Roman"/>
          <w:sz w:val="24"/>
          <w:szCs w:val="24"/>
          <w:lang w:val="kk-KZ"/>
        </w:rPr>
        <w:t>ын</w:t>
      </w:r>
      <w:r w:rsidRPr="00E97068">
        <w:rPr>
          <w:rFonts w:ascii="Times New Roman" w:hAnsi="Times New Roman"/>
          <w:sz w:val="24"/>
          <w:szCs w:val="24"/>
          <w:lang w:val="kk-KZ"/>
        </w:rPr>
        <w:t>ың депозиттері</w:t>
      </w:r>
      <w:r w:rsidR="00882059">
        <w:rPr>
          <w:rFonts w:ascii="Times New Roman" w:hAnsi="Times New Roman"/>
          <w:sz w:val="24"/>
          <w:szCs w:val="24"/>
          <w:lang w:val="kk-KZ"/>
        </w:rPr>
        <w:t xml:space="preserve"> қоржыны мөлшерінің кемуіне </w:t>
      </w:r>
      <w:r>
        <w:rPr>
          <w:rFonts w:ascii="Times New Roman" w:hAnsi="Times New Roman"/>
          <w:sz w:val="24"/>
          <w:szCs w:val="24"/>
          <w:lang w:val="kk-KZ"/>
        </w:rPr>
        <w:t xml:space="preserve">байланысты </w:t>
      </w:r>
      <w:r>
        <w:rPr>
          <w:rFonts w:ascii="Times New Roman" w:hAnsi="Times New Roman"/>
          <w:sz w:val="24"/>
          <w:szCs w:val="24"/>
          <w:lang w:val="kk-KZ"/>
        </w:rPr>
        <w:lastRenderedPageBreak/>
        <w:t>төлеген күнтізбел</w:t>
      </w:r>
      <w:r w:rsidR="00685E0E">
        <w:rPr>
          <w:rFonts w:ascii="Times New Roman" w:hAnsi="Times New Roman"/>
          <w:sz w:val="24"/>
          <w:szCs w:val="24"/>
          <w:lang w:val="kk-KZ"/>
        </w:rPr>
        <w:t xml:space="preserve">ік жарналарының жиынтық сомасы </w:t>
      </w:r>
      <w:r w:rsidR="00882059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="00882059">
        <w:rPr>
          <w:rFonts w:ascii="Times New Roman" w:hAnsi="Times New Roman"/>
          <w:sz w:val="24"/>
          <w:szCs w:val="24"/>
          <w:lang w:val="kk-KZ"/>
        </w:rPr>
        <w:t>9</w:t>
      </w:r>
      <w:r>
        <w:rPr>
          <w:rFonts w:ascii="Times New Roman" w:hAnsi="Times New Roman"/>
          <w:sz w:val="24"/>
          <w:szCs w:val="24"/>
          <w:lang w:val="kk-KZ"/>
        </w:rPr>
        <w:t xml:space="preserve"> млрд. теңгеге қысқарып, </w:t>
      </w:r>
      <w:r w:rsidRPr="007D7852">
        <w:rPr>
          <w:rFonts w:ascii="Times New Roman" w:eastAsia="Times New Roman" w:hAnsi="Times New Roman"/>
          <w:sz w:val="24"/>
          <w:szCs w:val="24"/>
          <w:lang w:val="kk-KZ" w:eastAsia="ru-RU"/>
        </w:rPr>
        <w:t>7,0 млрд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теңгені құрады. </w:t>
      </w:r>
      <w:r w:rsidRPr="00E9706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A175F" w:rsidRPr="005B11FE" w:rsidRDefault="004A175F" w:rsidP="001B1FD7">
      <w:pPr>
        <w:spacing w:after="0"/>
        <w:jc w:val="both"/>
        <w:rPr>
          <w:rFonts w:ascii="Times New Roman" w:hAnsi="Times New Roman"/>
          <w:b/>
          <w:i/>
          <w:sz w:val="18"/>
          <w:szCs w:val="18"/>
          <w:lang w:val="kk-KZ" w:eastAsia="ru-RU"/>
        </w:rPr>
      </w:pPr>
    </w:p>
    <w:p w:rsidR="00215406" w:rsidRDefault="00DF3173" w:rsidP="00EE7656">
      <w:pPr>
        <w:spacing w:after="120"/>
        <w:ind w:firstLine="567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E97068">
        <w:rPr>
          <w:rFonts w:ascii="Times New Roman" w:eastAsia="SimSun" w:hAnsi="Times New Roman"/>
          <w:sz w:val="24"/>
          <w:szCs w:val="24"/>
          <w:lang w:val="kk-KZ"/>
        </w:rPr>
        <w:t>201</w:t>
      </w:r>
      <w:r>
        <w:rPr>
          <w:rFonts w:ascii="Times New Roman" w:eastAsia="SimSun" w:hAnsi="Times New Roman"/>
          <w:sz w:val="24"/>
          <w:szCs w:val="24"/>
          <w:lang w:val="kk-KZ"/>
        </w:rPr>
        <w:t>5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ж. 1 </w:t>
      </w:r>
      <w:r>
        <w:rPr>
          <w:rFonts w:ascii="Times New Roman" w:eastAsia="SimSun" w:hAnsi="Times New Roman"/>
          <w:sz w:val="24"/>
          <w:szCs w:val="24"/>
          <w:lang w:val="kk-KZ"/>
        </w:rPr>
        <w:t>мамырдағы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жағдайы бойынша Қор төлеген кепілдік берілген өтемнің жиынтық сомасы </w:t>
      </w:r>
      <w:r w:rsidRPr="00E97068">
        <w:rPr>
          <w:rFonts w:ascii="Times New Roman" w:eastAsia="SimSun" w:hAnsi="Times New Roman"/>
          <w:b/>
          <w:i/>
          <w:sz w:val="24"/>
          <w:szCs w:val="24"/>
          <w:lang w:val="kk-KZ"/>
        </w:rPr>
        <w:t>Наурыз Банкі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бойынша 679,</w:t>
      </w:r>
      <w:r>
        <w:rPr>
          <w:rFonts w:ascii="Times New Roman" w:eastAsia="SimSun" w:hAnsi="Times New Roman"/>
          <w:sz w:val="24"/>
          <w:szCs w:val="24"/>
          <w:lang w:val="kk-KZ"/>
        </w:rPr>
        <w:t>6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млн. теңгені, ал </w:t>
      </w:r>
      <w:r w:rsidRPr="00E97068">
        <w:rPr>
          <w:rFonts w:ascii="Times New Roman" w:eastAsia="SimSun" w:hAnsi="Times New Roman"/>
          <w:b/>
          <w:i/>
          <w:sz w:val="24"/>
          <w:szCs w:val="24"/>
          <w:lang w:val="kk-KZ"/>
        </w:rPr>
        <w:t>Валют-Транзит Банкі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бойынша 13,9 млрд. теңгені құрады. Қордың </w:t>
      </w:r>
      <w:r w:rsidRPr="00E97068">
        <w:rPr>
          <w:rFonts w:ascii="Times New Roman" w:eastAsia="SimSun" w:hAnsi="Times New Roman"/>
          <w:b/>
          <w:i/>
          <w:sz w:val="24"/>
          <w:szCs w:val="24"/>
          <w:lang w:val="kk-KZ"/>
        </w:rPr>
        <w:t>Наурыз Банкінің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ликвидациялық комиссиясынан  кепілдік берілген өтемді төлеген сомасы бойынша талаптарын қанағаттандыру барысында алынған сома мөлшері 679,4 млн. теңге немесе ликвидациялық коммиссиясына қойылған барлық талап сомасының 88,0%, ал </w:t>
      </w:r>
      <w:r w:rsidRPr="00E97068">
        <w:rPr>
          <w:rFonts w:ascii="Times New Roman" w:eastAsia="SimSun" w:hAnsi="Times New Roman"/>
          <w:b/>
          <w:i/>
          <w:sz w:val="24"/>
          <w:szCs w:val="24"/>
          <w:lang w:val="kk-KZ"/>
        </w:rPr>
        <w:t>Валют-Транзит Банкі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бойынша 8,</w:t>
      </w:r>
      <w:r>
        <w:rPr>
          <w:rFonts w:ascii="Times New Roman" w:eastAsia="SimSun" w:hAnsi="Times New Roman"/>
          <w:sz w:val="24"/>
          <w:szCs w:val="24"/>
          <w:lang w:val="kk-KZ"/>
        </w:rPr>
        <w:t>7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 xml:space="preserve"> млрд. теңге немесе Қордың ликвидациялық коммиссиясына қойылған талап сомасының </w:t>
      </w:r>
      <w:r>
        <w:rPr>
          <w:rFonts w:ascii="Times New Roman" w:eastAsia="SimSun" w:hAnsi="Times New Roman"/>
          <w:sz w:val="24"/>
          <w:szCs w:val="24"/>
          <w:lang w:val="kk-KZ"/>
        </w:rPr>
        <w:t>61,</w:t>
      </w:r>
      <w:r w:rsidR="00215406">
        <w:rPr>
          <w:rFonts w:ascii="Times New Roman" w:eastAsia="SimSun" w:hAnsi="Times New Roman"/>
          <w:sz w:val="24"/>
          <w:szCs w:val="24"/>
          <w:lang w:val="kk-KZ"/>
        </w:rPr>
        <w:t>7</w:t>
      </w:r>
      <w:r w:rsidRPr="00E97068">
        <w:rPr>
          <w:rFonts w:ascii="Times New Roman" w:eastAsia="SimSun" w:hAnsi="Times New Roman"/>
          <w:sz w:val="24"/>
          <w:szCs w:val="24"/>
          <w:lang w:val="kk-KZ"/>
        </w:rPr>
        <w:t>% өндірілді.</w:t>
      </w:r>
    </w:p>
    <w:p w:rsidR="00BA350B" w:rsidRDefault="00BA350B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F36EC6" w:rsidRDefault="00F36EC6" w:rsidP="00EE7656">
      <w:pPr>
        <w:spacing w:after="120"/>
        <w:ind w:firstLine="567"/>
        <w:jc w:val="both"/>
        <w:rPr>
          <w:lang w:val="kk-KZ"/>
        </w:rPr>
      </w:pPr>
    </w:p>
    <w:p w:rsidR="00215406" w:rsidRDefault="00215406" w:rsidP="0098028A">
      <w:pPr>
        <w:tabs>
          <w:tab w:val="left" w:pos="6885"/>
        </w:tabs>
        <w:spacing w:after="120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C572EF" w:rsidRDefault="00C572EF" w:rsidP="0098028A">
      <w:pPr>
        <w:tabs>
          <w:tab w:val="left" w:pos="6885"/>
        </w:tabs>
        <w:spacing w:after="120"/>
        <w:jc w:val="right"/>
        <w:rPr>
          <w:rFonts w:ascii="Times New Roman" w:eastAsia="Times New Roman" w:hAnsi="Times New Roman"/>
          <w:color w:val="0000CC"/>
          <w:sz w:val="24"/>
          <w:szCs w:val="24"/>
          <w:lang w:val="kk-KZ" w:eastAsia="ru-RU"/>
        </w:rPr>
      </w:pPr>
      <w:r>
        <w:rPr>
          <w:rFonts w:ascii="Times New Roman" w:hAnsi="Times New Roman"/>
          <w:i/>
          <w:sz w:val="24"/>
          <w:szCs w:val="24"/>
          <w:lang w:val="kk-KZ"/>
        </w:rPr>
        <w:lastRenderedPageBreak/>
        <w:t>Қосымша</w:t>
      </w:r>
    </w:p>
    <w:p w:rsidR="00C572EF" w:rsidRDefault="00C572EF" w:rsidP="0098028A">
      <w:pPr>
        <w:spacing w:after="0" w:line="240" w:lineRule="auto"/>
        <w:ind w:left="-540"/>
        <w:jc w:val="center"/>
        <w:rPr>
          <w:rFonts w:ascii="Times New Roman" w:eastAsia="SimSun" w:hAnsi="Times New Roman"/>
          <w:sz w:val="24"/>
          <w:szCs w:val="24"/>
          <w:lang w:val="kk-KZ"/>
        </w:rPr>
      </w:pPr>
      <w:r>
        <w:rPr>
          <w:rFonts w:ascii="Times New Roman" w:eastAsia="SimSun" w:hAnsi="Times New Roman"/>
          <w:sz w:val="24"/>
          <w:szCs w:val="24"/>
          <w:lang w:val="kk-KZ"/>
        </w:rPr>
        <w:t>201</w:t>
      </w:r>
      <w:r w:rsidRPr="00B66915">
        <w:rPr>
          <w:rFonts w:ascii="Times New Roman" w:eastAsia="SimSun" w:hAnsi="Times New Roman"/>
          <w:sz w:val="24"/>
          <w:szCs w:val="24"/>
          <w:lang w:val="kk-KZ"/>
        </w:rPr>
        <w:t>5</w:t>
      </w:r>
      <w:r>
        <w:rPr>
          <w:rFonts w:ascii="Times New Roman" w:eastAsia="SimSun" w:hAnsi="Times New Roman"/>
          <w:sz w:val="24"/>
          <w:szCs w:val="24"/>
          <w:lang w:val="kk-KZ"/>
        </w:rPr>
        <w:t xml:space="preserve"> жылдың 1 сәуіріне сәйкес </w:t>
      </w:r>
    </w:p>
    <w:p w:rsidR="00C572EF" w:rsidRPr="00B66915" w:rsidRDefault="00C572EF" w:rsidP="00C572EF">
      <w:pPr>
        <w:spacing w:after="0" w:line="240" w:lineRule="auto"/>
        <w:ind w:left="-540"/>
        <w:jc w:val="center"/>
        <w:rPr>
          <w:rFonts w:ascii="Times New Roman" w:eastAsia="SimSun" w:hAnsi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/>
          <w:b/>
          <w:sz w:val="24"/>
          <w:szCs w:val="24"/>
          <w:lang w:val="kk-KZ"/>
        </w:rPr>
        <w:t>қатысушы банктердің жеке тұлғалар депозиттері бойынша мәліметтерінің жиынтығы</w:t>
      </w:r>
    </w:p>
    <w:p w:rsidR="00C572EF" w:rsidRPr="00B66915" w:rsidRDefault="00C572EF" w:rsidP="00C572EF">
      <w:pPr>
        <w:spacing w:after="0" w:line="240" w:lineRule="auto"/>
        <w:ind w:left="-540"/>
        <w:jc w:val="center"/>
        <w:rPr>
          <w:rFonts w:ascii="Times New Roman" w:eastAsia="SimSun" w:hAnsi="Times New Roman"/>
          <w:b/>
          <w:sz w:val="24"/>
          <w:szCs w:val="24"/>
          <w:lang w:val="kk-KZ"/>
        </w:rPr>
      </w:pPr>
    </w:p>
    <w:tbl>
      <w:tblPr>
        <w:tblW w:w="9497" w:type="dxa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165"/>
        <w:gridCol w:w="1512"/>
        <w:gridCol w:w="1707"/>
        <w:gridCol w:w="1494"/>
      </w:tblGrid>
      <w:tr w:rsidR="00C572EF" w:rsidRPr="00102994" w:rsidTr="00102994">
        <w:trPr>
          <w:trHeight w:val="509"/>
          <w:jc w:val="center"/>
        </w:trPr>
        <w:tc>
          <w:tcPr>
            <w:tcW w:w="619" w:type="dxa"/>
            <w:shd w:val="clear" w:color="000000" w:fill="DBE5F1" w:themeFill="accent1" w:themeFillTint="33"/>
            <w:vAlign w:val="center"/>
            <w:hideMark/>
          </w:tcPr>
          <w:p w:rsidR="00C572EF" w:rsidRDefault="00C572EF" w:rsidP="0098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165" w:type="dxa"/>
            <w:shd w:val="clear" w:color="000000" w:fill="DBE5F1" w:themeFill="accent1" w:themeFillTint="33"/>
            <w:vAlign w:val="center"/>
            <w:hideMark/>
          </w:tcPr>
          <w:p w:rsidR="00C572EF" w:rsidRDefault="00C572EF" w:rsidP="0098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Аталуы</w:t>
            </w:r>
          </w:p>
        </w:tc>
        <w:tc>
          <w:tcPr>
            <w:tcW w:w="1512" w:type="dxa"/>
            <w:shd w:val="clear" w:color="000000" w:fill="DBE5F1" w:themeFill="accent1" w:themeFillTint="33"/>
            <w:vAlign w:val="center"/>
            <w:hideMark/>
          </w:tcPr>
          <w:p w:rsidR="002A207C" w:rsidRDefault="00C572EF" w:rsidP="0098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Сомасы</w:t>
            </w:r>
            <w:r w:rsidR="002154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572EF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(мың теңге)</w:t>
            </w:r>
          </w:p>
        </w:tc>
        <w:tc>
          <w:tcPr>
            <w:tcW w:w="1707" w:type="dxa"/>
            <w:shd w:val="clear" w:color="000000" w:fill="DBE5F1" w:themeFill="accent1" w:themeFillTint="33"/>
            <w:vAlign w:val="center"/>
            <w:hideMark/>
          </w:tcPr>
          <w:p w:rsidR="00C572EF" w:rsidRDefault="00C572EF" w:rsidP="0098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1- тоқсандағы өзгерісі</w:t>
            </w:r>
          </w:p>
        </w:tc>
        <w:tc>
          <w:tcPr>
            <w:tcW w:w="1494" w:type="dxa"/>
            <w:shd w:val="clear" w:color="000000" w:fill="DBE5F1" w:themeFill="accent1" w:themeFillTint="33"/>
            <w:vAlign w:val="center"/>
            <w:hideMark/>
          </w:tcPr>
          <w:p w:rsidR="00C572EF" w:rsidRDefault="00C572EF" w:rsidP="0098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Шоттардың саны</w:t>
            </w:r>
          </w:p>
        </w:tc>
      </w:tr>
      <w:tr w:rsidR="00215406" w:rsidRPr="00102994" w:rsidTr="00215406">
        <w:trPr>
          <w:trHeight w:val="296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B97803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Барлық жеке тұлғалар депозиттері  </w:t>
            </w:r>
            <w:r w:rsidRPr="00B97803">
              <w:rPr>
                <w:rFonts w:ascii="Times New Roman" w:hAnsi="Times New Roman"/>
                <w:iCs/>
                <w:color w:val="000000"/>
                <w:sz w:val="20"/>
                <w:szCs w:val="20"/>
                <w:lang w:val="kk-KZ"/>
              </w:rPr>
              <w:t>теңгемен</w:t>
            </w:r>
            <w:r w:rsidRPr="00B97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78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</w:t>
            </w:r>
            <w:r w:rsidRPr="00B97803">
              <w:rPr>
                <w:rFonts w:ascii="Times New Roman" w:hAnsi="Times New Roman"/>
                <w:iCs/>
                <w:color w:val="000000"/>
                <w:sz w:val="20"/>
                <w:szCs w:val="20"/>
                <w:lang w:val="kk-KZ"/>
              </w:rPr>
              <w:t xml:space="preserve">шетел валютасымен, </w:t>
            </w:r>
            <w:r w:rsidRPr="00B9780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оның ішінде: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4 297 637 839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  <w:t>-140 127 397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22 730 055</w:t>
            </w:r>
          </w:p>
        </w:tc>
      </w:tr>
      <w:tr w:rsidR="00215406" w:rsidRPr="00102994" w:rsidTr="00215406">
        <w:trPr>
          <w:trHeight w:val="173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B9780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Талап етілгенге дейінгі салымдар</w:t>
            </w:r>
            <w:r w:rsidRPr="00B9780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, оның ішінде: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13 837 249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  <w:t>-5 713 512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1 009 006</w:t>
            </w:r>
          </w:p>
        </w:tc>
      </w:tr>
      <w:tr w:rsidR="00215406" w:rsidRPr="00102994" w:rsidTr="00215406">
        <w:trPr>
          <w:trHeight w:val="136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теңгемен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4 809 241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-4 948 243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956 613</w:t>
            </w:r>
          </w:p>
        </w:tc>
      </w:tr>
      <w:tr w:rsidR="00215406" w:rsidRPr="00102994" w:rsidTr="00215406">
        <w:trPr>
          <w:trHeight w:val="256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шетел валютасымен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9 028 008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-765 269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52 393</w:t>
            </w:r>
          </w:p>
        </w:tc>
      </w:tr>
      <w:tr w:rsidR="00215406" w:rsidRPr="00102994" w:rsidTr="00215406">
        <w:trPr>
          <w:trHeight w:val="817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</w:pPr>
            <w:r w:rsidRPr="00B9780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Банктің басқарушы қызметкерлеріне, сонымен бірге 5% және одан жоғары дауыс беру құқығы бар акцияларға ие акционерлер мен олардың жақын туыстарына тиесілі талап етілгенге дейінгі салымдар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5 114 296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-707 109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122</w:t>
            </w:r>
          </w:p>
        </w:tc>
      </w:tr>
      <w:tr w:rsidR="00215406" w:rsidRPr="00102994" w:rsidTr="00215406">
        <w:trPr>
          <w:trHeight w:val="246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B9780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Мерзімді және шартты салымдар, оның ішінде: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3 845 458 938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  <w:t>-113 358 105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2 817 382</w:t>
            </w:r>
          </w:p>
        </w:tc>
      </w:tr>
      <w:tr w:rsidR="00215406" w:rsidRPr="00102994" w:rsidTr="00215406">
        <w:trPr>
          <w:trHeight w:val="82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теңгемен,</w:t>
            </w:r>
            <w:r w:rsidRPr="00B9780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9780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kk-KZ"/>
              </w:rPr>
              <w:t>оның ішінде</w:t>
            </w:r>
            <w:r w:rsidRPr="00B9780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1 074 491 752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6 928 802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1 996 959</w:t>
            </w:r>
          </w:p>
        </w:tc>
      </w:tr>
      <w:tr w:rsidR="00215406" w:rsidRPr="00102994" w:rsidTr="00215406">
        <w:trPr>
          <w:trHeight w:val="202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1 млн.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266 086 288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569 754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1 739 139</w:t>
            </w:r>
          </w:p>
        </w:tc>
      </w:tr>
      <w:tr w:rsidR="00215406" w:rsidRPr="00102994" w:rsidTr="00215406">
        <w:trPr>
          <w:trHeight w:val="363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1 млн</w:t>
            </w:r>
            <w:proofErr w:type="gramStart"/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proofErr w:type="gramEnd"/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нан бастап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3 млн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313 795 369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691 041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193 203</w:t>
            </w:r>
          </w:p>
        </w:tc>
      </w:tr>
      <w:tr w:rsidR="00215406" w:rsidRPr="00102994" w:rsidTr="00215406">
        <w:trPr>
          <w:trHeight w:val="369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3 млн</w:t>
            </w:r>
            <w:proofErr w:type="gramStart"/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proofErr w:type="gramEnd"/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нан бастап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млн.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150 403 377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-869 885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39 284</w:t>
            </w:r>
          </w:p>
        </w:tc>
      </w:tr>
      <w:tr w:rsidR="00215406" w:rsidRPr="00102994" w:rsidTr="00215406">
        <w:trPr>
          <w:trHeight w:val="361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5 млн</w:t>
            </w:r>
            <w:proofErr w:type="gramStart"/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proofErr w:type="gramEnd"/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нан бастап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 млн.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122 575 872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905 416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19 220</w:t>
            </w:r>
          </w:p>
        </w:tc>
      </w:tr>
      <w:tr w:rsidR="00215406" w:rsidRPr="00102994" w:rsidTr="00215406">
        <w:trPr>
          <w:trHeight w:val="368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10 млн</w:t>
            </w:r>
            <w:proofErr w:type="gramStart"/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proofErr w:type="gramEnd"/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нан бастап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 млн.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33 600 761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628 508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2 842</w:t>
            </w:r>
          </w:p>
        </w:tc>
      </w:tr>
      <w:tr w:rsidR="00215406" w:rsidRPr="00102994" w:rsidTr="00215406">
        <w:trPr>
          <w:trHeight w:val="221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15 млн.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теңгеден жоғары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188 030 085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5 003 969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3 271</w:t>
            </w:r>
          </w:p>
        </w:tc>
      </w:tr>
      <w:tr w:rsidR="00215406" w:rsidRPr="00102994" w:rsidTr="00215406">
        <w:trPr>
          <w:trHeight w:val="213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шетел валютасымен</w:t>
            </w: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B9780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kk-KZ"/>
              </w:rPr>
              <w:t>оның ішінде</w:t>
            </w:r>
            <w:r w:rsidRPr="00B9780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2 770 967 186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-120 286 907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820 423</w:t>
            </w:r>
          </w:p>
        </w:tc>
      </w:tr>
      <w:tr w:rsidR="00215406" w:rsidRPr="00102994" w:rsidTr="00215406">
        <w:trPr>
          <w:trHeight w:val="190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1 млн.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112 270 548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668 584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556 856</w:t>
            </w:r>
          </w:p>
        </w:tc>
      </w:tr>
      <w:tr w:rsidR="00215406" w:rsidRPr="00102994" w:rsidTr="00215406">
        <w:trPr>
          <w:trHeight w:val="319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1 млн</w:t>
            </w:r>
            <w:proofErr w:type="gramStart"/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proofErr w:type="gramEnd"/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нан бастап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3 млн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248 762 610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861 485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140 244</w:t>
            </w:r>
          </w:p>
        </w:tc>
      </w:tr>
      <w:tr w:rsidR="00215406" w:rsidRPr="00102994" w:rsidTr="00215406">
        <w:trPr>
          <w:trHeight w:val="325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3 млн</w:t>
            </w:r>
            <w:proofErr w:type="gramStart"/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proofErr w:type="gramEnd"/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нан бастап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млн.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212 908 971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-5 561 257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53 982</w:t>
            </w:r>
          </w:p>
        </w:tc>
      </w:tr>
      <w:tr w:rsidR="00215406" w:rsidRPr="00102994" w:rsidTr="00215406">
        <w:trPr>
          <w:trHeight w:val="511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5 млн</w:t>
            </w:r>
            <w:proofErr w:type="gramStart"/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proofErr w:type="gramEnd"/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нан бастап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 млн.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269 869 551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13 068 415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39 976</w:t>
            </w:r>
          </w:p>
        </w:tc>
      </w:tr>
      <w:tr w:rsidR="00215406" w:rsidRPr="00102994" w:rsidTr="00215406">
        <w:trPr>
          <w:trHeight w:val="367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10 млн</w:t>
            </w:r>
            <w:proofErr w:type="gramStart"/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proofErr w:type="gramEnd"/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нан бастап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 млн. 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теңгеден аспайтын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118 772 444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-42 870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9 821</w:t>
            </w:r>
          </w:p>
        </w:tc>
      </w:tr>
      <w:tr w:rsidR="00215406" w:rsidRPr="00102994" w:rsidTr="00215406">
        <w:trPr>
          <w:trHeight w:val="281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97803">
              <w:rPr>
                <w:rFonts w:ascii="Times New Roman" w:hAnsi="Times New Roman"/>
                <w:color w:val="000000"/>
                <w:sz w:val="20"/>
                <w:szCs w:val="20"/>
              </w:rPr>
              <w:t>15 млн.</w:t>
            </w:r>
            <w:r w:rsidRPr="00B9780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теңгеден жоғары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1 808 383 062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-129 281 265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19 544</w:t>
            </w:r>
          </w:p>
        </w:tc>
      </w:tr>
      <w:tr w:rsidR="00215406" w:rsidRPr="00102994" w:rsidTr="00215406">
        <w:trPr>
          <w:trHeight w:val="690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5" w:type="dxa"/>
            <w:shd w:val="clear" w:color="auto" w:fill="auto"/>
            <w:vAlign w:val="bottom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9780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Банктің басқарушы қызметкерлеріне, сонымен бірге 5% және одан жоғары дауыс беру құқығы бар акцияларға ие акционерлер мен олардың жақын туыстарына тиесілі мерзімді және шартты  салымдар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202 943 236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-65 891 316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1 906</w:t>
            </w:r>
          </w:p>
        </w:tc>
      </w:tr>
      <w:tr w:rsidR="00215406" w:rsidRPr="00102994" w:rsidTr="00215406">
        <w:trPr>
          <w:trHeight w:val="419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B9780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Ағымдық шоттардағы ақша қалдықтары (карт-шоттағы қалдықты қоса есептегенде) оның ішінде: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438 341 652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  <w:t>-21 055 780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18 903 667</w:t>
            </w:r>
          </w:p>
        </w:tc>
      </w:tr>
      <w:tr w:rsidR="00215406" w:rsidRPr="00102994" w:rsidTr="00215406">
        <w:trPr>
          <w:trHeight w:val="107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теңгемен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316 076 582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-49 466 702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18 162 112</w:t>
            </w:r>
          </w:p>
        </w:tc>
      </w:tr>
      <w:tr w:rsidR="00215406" w:rsidRPr="00102994" w:rsidTr="00215406">
        <w:trPr>
          <w:trHeight w:val="226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9780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шетел валютасымен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122 265 070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28 410 922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741 555</w:t>
            </w:r>
          </w:p>
        </w:tc>
      </w:tr>
      <w:tr w:rsidR="00215406" w:rsidRPr="00102994" w:rsidTr="00215406">
        <w:trPr>
          <w:trHeight w:val="621"/>
          <w:jc w:val="center"/>
        </w:trPr>
        <w:tc>
          <w:tcPr>
            <w:tcW w:w="619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215406" w:rsidRPr="00B97803" w:rsidRDefault="00215406" w:rsidP="0098028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</w:pPr>
            <w:r w:rsidRPr="00B9780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Банктің басқарушы қызметкерлеріне, сонымен бірге 5% және одан жоғары дауыс беру құқығы бар акцияларға ие акционерлер мен олардың жақын туыстарына тиесілі ағымдық шоттардағы ақша қалдықтары (карт-шоттағы қалдықты қоса есептегенде)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2 775 401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-1 219 113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5406" w:rsidRPr="00102994" w:rsidRDefault="00215406" w:rsidP="00215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37 790</w:t>
            </w:r>
          </w:p>
        </w:tc>
      </w:tr>
    </w:tbl>
    <w:p w:rsidR="00DF5235" w:rsidRDefault="00DF5235" w:rsidP="003C32E9"/>
    <w:sectPr w:rsidR="00DF5235" w:rsidSect="00986CD4">
      <w:headerReference w:type="default" r:id="rId12"/>
      <w:footerReference w:type="default" r:id="rId13"/>
      <w:pgSz w:w="11906" w:h="16838"/>
      <w:pgMar w:top="672" w:right="851" w:bottom="426" w:left="1134" w:header="426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45" w:rsidRDefault="00CA5045" w:rsidP="001B1FD7">
      <w:pPr>
        <w:spacing w:after="0" w:line="240" w:lineRule="auto"/>
      </w:pPr>
      <w:r>
        <w:separator/>
      </w:r>
    </w:p>
  </w:endnote>
  <w:endnote w:type="continuationSeparator" w:id="0">
    <w:p w:rsidR="00CA5045" w:rsidRDefault="00CA5045" w:rsidP="001B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CF" w:rsidRPr="00B665CF" w:rsidRDefault="001B1FD7">
    <w:pPr>
      <w:ind w:right="260"/>
      <w:rPr>
        <w:color w:val="0F243E"/>
        <w:sz w:val="26"/>
        <w:szCs w:val="2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F30622" wp14:editId="473F23A3">
              <wp:simplePos x="0" y="0"/>
              <wp:positionH relativeFrom="page">
                <wp:posOffset>7024370</wp:posOffset>
              </wp:positionH>
              <wp:positionV relativeFrom="page">
                <wp:posOffset>10202545</wp:posOffset>
              </wp:positionV>
              <wp:extent cx="373380" cy="259080"/>
              <wp:effectExtent l="0" t="0" r="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5CF" w:rsidRPr="005D10BA" w:rsidRDefault="001C5403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</w:pPr>
                          <w:r w:rsidRPr="005D10BA"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  <w:fldChar w:fldCharType="begin"/>
                          </w:r>
                          <w:r w:rsidRPr="005D10BA"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  <w:instrText>PAGE  \* Arabic  \* MERGEFORMAT</w:instrText>
                          </w:r>
                          <w:r w:rsidRPr="005D10BA"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  <w:fldChar w:fldCharType="separate"/>
                          </w:r>
                          <w:r w:rsidR="002A207C">
                            <w:rPr>
                              <w:rFonts w:ascii="Times New Roman" w:hAnsi="Times New Roman"/>
                              <w:noProof/>
                              <w:color w:val="0F243E"/>
                              <w:sz w:val="20"/>
                              <w:szCs w:val="26"/>
                            </w:rPr>
                            <w:t>4</w:t>
                          </w:r>
                          <w:r w:rsidRPr="005D10BA"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6" type="#_x0000_t202" style="position:absolute;margin-left:553.1pt;margin-top:803.35pt;width:29.4pt;height:20.4pt;z-index:25166028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" stroked="f" strokeweight=".5pt">
              <v:textbox style="mso-fit-shape-to-text:t" inset="0,,0">
                <w:txbxContent>
                  <w:p w:rsidR="00B665CF" w:rsidRPr="005D10BA" w:rsidRDefault="001C5403">
                    <w:pPr>
                      <w:spacing w:after="0"/>
                      <w:jc w:val="center"/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</w:pPr>
                    <w:r w:rsidRPr="005D10BA"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  <w:fldChar w:fldCharType="begin"/>
                    </w:r>
                    <w:r w:rsidRPr="005D10BA"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  <w:instrText>PAGE  \* Arabic  \* MERGEFORMAT</w:instrText>
                    </w:r>
                    <w:r w:rsidRPr="005D10BA"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  <w:fldChar w:fldCharType="separate"/>
                    </w:r>
                    <w:r w:rsidR="002A207C">
                      <w:rPr>
                        <w:rFonts w:ascii="Times New Roman" w:hAnsi="Times New Roman"/>
                        <w:noProof/>
                        <w:color w:val="0F243E"/>
                        <w:sz w:val="20"/>
                        <w:szCs w:val="26"/>
                      </w:rPr>
                      <w:t>4</w:t>
                    </w:r>
                    <w:r w:rsidRPr="005D10BA"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665CF" w:rsidRDefault="00CA504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45" w:rsidRDefault="00CA5045" w:rsidP="001B1FD7">
      <w:pPr>
        <w:spacing w:after="0" w:line="240" w:lineRule="auto"/>
      </w:pPr>
      <w:r>
        <w:separator/>
      </w:r>
    </w:p>
  </w:footnote>
  <w:footnote w:type="continuationSeparator" w:id="0">
    <w:p w:rsidR="00CA5045" w:rsidRDefault="00CA5045" w:rsidP="001B1FD7">
      <w:pPr>
        <w:spacing w:after="0" w:line="240" w:lineRule="auto"/>
      </w:pPr>
      <w:r>
        <w:continuationSeparator/>
      </w:r>
    </w:p>
  </w:footnote>
  <w:footnote w:id="1">
    <w:p w:rsidR="00685E0E" w:rsidRPr="00CE375B" w:rsidRDefault="00685E0E">
      <w:pPr>
        <w:pStyle w:val="a5"/>
        <w:rPr>
          <w:i/>
          <w:sz w:val="16"/>
          <w:szCs w:val="16"/>
          <w:lang w:val="kk-KZ"/>
        </w:rPr>
      </w:pPr>
      <w:r w:rsidRPr="00CE375B">
        <w:rPr>
          <w:rStyle w:val="a7"/>
          <w:i/>
          <w:sz w:val="16"/>
          <w:szCs w:val="16"/>
        </w:rPr>
        <w:footnoteRef/>
      </w:r>
      <w:r w:rsidRPr="00CE375B">
        <w:rPr>
          <w:i/>
          <w:sz w:val="16"/>
          <w:szCs w:val="16"/>
        </w:rPr>
        <w:t xml:space="preserve"> </w:t>
      </w:r>
      <w:r w:rsidRPr="00CE375B">
        <w:rPr>
          <w:i/>
          <w:sz w:val="16"/>
          <w:szCs w:val="16"/>
          <w:lang w:val="kk-KZ"/>
        </w:rPr>
        <w:t>БАТА – БАнктерді ТАлдау</w:t>
      </w:r>
      <w:r w:rsidR="00CE375B">
        <w:rPr>
          <w:i/>
          <w:sz w:val="16"/>
          <w:szCs w:val="16"/>
          <w:lang w:val="kk-KZ"/>
        </w:rPr>
        <w:t>.</w:t>
      </w:r>
    </w:p>
  </w:footnote>
  <w:footnote w:id="2">
    <w:p w:rsidR="00685E0E" w:rsidRPr="00CE375B" w:rsidRDefault="00685E0E" w:rsidP="00F146D2">
      <w:pPr>
        <w:pStyle w:val="a5"/>
        <w:jc w:val="both"/>
        <w:rPr>
          <w:lang w:val="kk-KZ"/>
        </w:rPr>
      </w:pPr>
      <w:r w:rsidRPr="00CE375B">
        <w:rPr>
          <w:rStyle w:val="a7"/>
          <w:i/>
          <w:sz w:val="16"/>
          <w:szCs w:val="16"/>
        </w:rPr>
        <w:footnoteRef/>
      </w:r>
      <w:r w:rsidRPr="00CE375B">
        <w:rPr>
          <w:i/>
          <w:sz w:val="16"/>
          <w:szCs w:val="16"/>
        </w:rPr>
        <w:t xml:space="preserve"> </w:t>
      </w:r>
      <w:r w:rsidRPr="00CE375B">
        <w:rPr>
          <w:i/>
          <w:sz w:val="16"/>
          <w:szCs w:val="16"/>
        </w:rPr>
        <w:t>СЕЖ «БАТА»</w:t>
      </w:r>
      <w:r w:rsidRPr="00CE375B">
        <w:rPr>
          <w:i/>
          <w:sz w:val="16"/>
          <w:szCs w:val="16"/>
          <w:lang w:val="kk-KZ"/>
        </w:rPr>
        <w:t xml:space="preserve"> </w:t>
      </w:r>
      <w:r w:rsidRPr="00CE375B">
        <w:rPr>
          <w:i/>
          <w:sz w:val="16"/>
          <w:szCs w:val="16"/>
          <w:lang w:val="kk-KZ"/>
        </w:rPr>
        <w:t>қатысушы банктердің</w:t>
      </w:r>
      <w:r w:rsidR="00CE375B" w:rsidRPr="00CE375B">
        <w:rPr>
          <w:i/>
          <w:sz w:val="16"/>
          <w:szCs w:val="16"/>
          <w:lang w:val="kk-KZ"/>
        </w:rPr>
        <w:t xml:space="preserve"> қаржылық жағдайын және тәуекелдері көрінісін лайықты бағалау үшін </w:t>
      </w:r>
      <w:r w:rsidRPr="00CE375B">
        <w:rPr>
          <w:i/>
          <w:sz w:val="16"/>
          <w:szCs w:val="16"/>
          <w:lang w:val="kk-KZ"/>
        </w:rPr>
        <w:t xml:space="preserve">2007 жылы </w:t>
      </w:r>
      <w:r w:rsidRPr="00CE375B">
        <w:rPr>
          <w:i/>
          <w:sz w:val="16"/>
          <w:szCs w:val="16"/>
          <w:lang w:val="kk-KZ"/>
        </w:rPr>
        <w:t>Қор</w:t>
      </w:r>
      <w:r w:rsidRPr="00CE375B">
        <w:rPr>
          <w:i/>
          <w:sz w:val="16"/>
          <w:szCs w:val="16"/>
          <w:lang w:val="kk-KZ"/>
        </w:rPr>
        <w:t xml:space="preserve"> тарапынан енгізілді.</w:t>
      </w:r>
      <w:r w:rsidR="00CE375B" w:rsidRPr="00CE375B">
        <w:rPr>
          <w:i/>
          <w:sz w:val="16"/>
          <w:szCs w:val="16"/>
          <w:lang w:val="kk-KZ"/>
        </w:rPr>
        <w:t xml:space="preserve"> </w:t>
      </w:r>
      <w:r w:rsidR="00CE375B" w:rsidRPr="00CE375B">
        <w:rPr>
          <w:i/>
          <w:sz w:val="16"/>
          <w:szCs w:val="16"/>
        </w:rPr>
        <w:t>СЕЖ</w:t>
      </w:r>
      <w:r w:rsidR="00CE375B" w:rsidRPr="00CE375B">
        <w:rPr>
          <w:i/>
          <w:sz w:val="16"/>
          <w:szCs w:val="16"/>
          <w:lang w:val="kk-KZ"/>
        </w:rPr>
        <w:t xml:space="preserve"> </w:t>
      </w:r>
      <w:r w:rsidR="00CE375B" w:rsidRPr="00CE375B">
        <w:rPr>
          <w:i/>
          <w:sz w:val="16"/>
          <w:szCs w:val="16"/>
        </w:rPr>
        <w:t>«БАТА»</w:t>
      </w:r>
      <w:r w:rsidR="00CE375B" w:rsidRPr="00CE375B">
        <w:rPr>
          <w:i/>
          <w:sz w:val="16"/>
          <w:szCs w:val="16"/>
          <w:lang w:val="kk-KZ"/>
        </w:rPr>
        <w:t xml:space="preserve"> әрқайсысының сәйкесінше өз жарна мөлшерлемесі бар 6 жіктеу топтарынан тұрады.</w:t>
      </w:r>
      <w:r w:rsidR="00CE375B">
        <w:rPr>
          <w:i/>
          <w:sz w:val="16"/>
          <w:szCs w:val="16"/>
          <w:lang w:val="kk-KZ"/>
        </w:rPr>
        <w:t xml:space="preserve"> Қ</w:t>
      </w:r>
      <w:r w:rsidR="00F146D2">
        <w:rPr>
          <w:i/>
          <w:sz w:val="16"/>
          <w:szCs w:val="16"/>
          <w:lang w:val="kk-KZ"/>
        </w:rPr>
        <w:t>атысушы банктер үшін транспарен</w:t>
      </w:r>
      <w:r w:rsidR="00CE375B">
        <w:rPr>
          <w:i/>
          <w:sz w:val="16"/>
          <w:szCs w:val="16"/>
          <w:lang w:val="kk-KZ"/>
        </w:rPr>
        <w:t>тті</w:t>
      </w:r>
      <w:r w:rsidR="00F146D2">
        <w:rPr>
          <w:i/>
          <w:sz w:val="16"/>
          <w:szCs w:val="16"/>
          <w:lang w:val="kk-KZ"/>
        </w:rPr>
        <w:t>лігі</w:t>
      </w:r>
      <w:r w:rsidR="00CE375B">
        <w:rPr>
          <w:i/>
          <w:sz w:val="16"/>
          <w:szCs w:val="16"/>
          <w:lang w:val="kk-KZ"/>
        </w:rPr>
        <w:t xml:space="preserve"> және</w:t>
      </w:r>
      <w:r w:rsidR="00F146D2">
        <w:rPr>
          <w:i/>
          <w:sz w:val="16"/>
          <w:szCs w:val="16"/>
          <w:lang w:val="kk-KZ"/>
        </w:rPr>
        <w:t xml:space="preserve"> берілген рейтингтердің құпиялығы осы </w:t>
      </w:r>
      <w:r w:rsidR="00CE375B">
        <w:rPr>
          <w:i/>
          <w:sz w:val="16"/>
          <w:szCs w:val="16"/>
          <w:lang w:val="kk-KZ"/>
        </w:rPr>
        <w:t>жүйенің негізгі сипаттамаларының бірі болып табылады.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FD" w:rsidRDefault="00250DFD" w:rsidP="00250DFD">
    <w:pPr>
      <w:pStyle w:val="ab"/>
      <w:ind w:left="709"/>
      <w:rPr>
        <w:rFonts w:ascii="Times New Roman" w:hAnsi="Times New Roman"/>
        <w:i/>
        <w:sz w:val="18"/>
        <w:szCs w:val="18"/>
        <w:lang w:val="en-US"/>
      </w:rPr>
    </w:pPr>
    <w:r>
      <w:rPr>
        <w:noProof/>
        <w:lang w:val="ru-RU" w:eastAsia="ru-RU" w:bidi="ar-SA"/>
      </w:rPr>
      <w:drawing>
        <wp:anchor distT="0" distB="0" distL="114300" distR="114300" simplePos="0" relativeHeight="251662336" behindDoc="0" locked="0" layoutInCell="1" allowOverlap="1" wp14:anchorId="4B0E3A07" wp14:editId="7BD50378">
          <wp:simplePos x="0" y="0"/>
          <wp:positionH relativeFrom="column">
            <wp:posOffset>-5080</wp:posOffset>
          </wp:positionH>
          <wp:positionV relativeFrom="paragraph">
            <wp:posOffset>16510</wp:posOffset>
          </wp:positionV>
          <wp:extent cx="379095" cy="323850"/>
          <wp:effectExtent l="0" t="0" r="1905" b="0"/>
          <wp:wrapSquare wrapText="bothSides"/>
          <wp:docPr id="6" name="Рисунок 6" descr="Описание: C:\Documents and Settings\User\Мои документы\Mои рисунки\KDIF\KDIF3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C:\Documents and Settings\User\Мои документы\Mои рисунки\KDIF\KDIF3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i/>
        <w:sz w:val="18"/>
        <w:szCs w:val="18"/>
        <w:lang w:val="kk-KZ"/>
      </w:rPr>
      <w:t>Қазақстанның депозиттерге кепілдік беру қоры</w:t>
    </w:r>
  </w:p>
  <w:p w:rsidR="00250DFD" w:rsidRPr="003F4014" w:rsidRDefault="00250DFD" w:rsidP="00250DFD">
    <w:pPr>
      <w:pBdr>
        <w:bottom w:val="single" w:sz="4" w:space="1" w:color="auto"/>
      </w:pBdr>
      <w:tabs>
        <w:tab w:val="center" w:pos="4677"/>
        <w:tab w:val="right" w:pos="9355"/>
      </w:tabs>
      <w:spacing w:after="0" w:line="240" w:lineRule="auto"/>
      <w:ind w:left="709"/>
      <w:rPr>
        <w:rFonts w:ascii="Times New Roman" w:hAnsi="Times New Roman" w:cs="Mangal"/>
        <w:i/>
        <w:sz w:val="18"/>
        <w:szCs w:val="18"/>
        <w:lang w:eastAsia="x-none" w:bidi="sa-IN"/>
      </w:rPr>
    </w:pPr>
    <w:r>
      <w:rPr>
        <w:rFonts w:ascii="Times New Roman" w:hAnsi="Times New Roman"/>
        <w:i/>
        <w:sz w:val="18"/>
        <w:szCs w:val="18"/>
      </w:rPr>
      <w:t>20</w:t>
    </w:r>
    <w:r>
      <w:rPr>
        <w:rFonts w:ascii="Times New Roman" w:hAnsi="Times New Roman"/>
        <w:i/>
        <w:sz w:val="18"/>
        <w:szCs w:val="18"/>
        <w:lang w:val="kk-KZ"/>
      </w:rPr>
      <w:t>1</w:t>
    </w:r>
    <w:r>
      <w:rPr>
        <w:rFonts w:ascii="Times New Roman" w:hAnsi="Times New Roman"/>
        <w:i/>
        <w:sz w:val="18"/>
        <w:szCs w:val="18"/>
        <w:lang w:val="en-US"/>
      </w:rPr>
      <w:t>5</w:t>
    </w:r>
    <w:r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  <w:lang w:val="kk-KZ"/>
      </w:rPr>
      <w:t>ж</w:t>
    </w:r>
    <w:r>
      <w:rPr>
        <w:rFonts w:ascii="Times New Roman" w:hAnsi="Times New Roman"/>
        <w:i/>
        <w:sz w:val="18"/>
        <w:szCs w:val="18"/>
      </w:rPr>
      <w:t>.</w:t>
    </w:r>
    <w:r>
      <w:rPr>
        <w:rFonts w:ascii="Times New Roman" w:hAnsi="Times New Roman"/>
        <w:i/>
        <w:sz w:val="18"/>
        <w:szCs w:val="18"/>
        <w:lang w:val="kk-KZ"/>
      </w:rPr>
      <w:t>1 тоқ</w:t>
    </w:r>
    <w:proofErr w:type="gramStart"/>
    <w:r>
      <w:rPr>
        <w:rFonts w:ascii="Times New Roman" w:hAnsi="Times New Roman"/>
        <w:i/>
        <w:sz w:val="18"/>
        <w:szCs w:val="18"/>
        <w:lang w:val="kk-KZ"/>
      </w:rPr>
      <w:t>санды</w:t>
    </w:r>
    <w:proofErr w:type="gramEnd"/>
    <w:r>
      <w:rPr>
        <w:rFonts w:ascii="Times New Roman" w:hAnsi="Times New Roman"/>
        <w:i/>
        <w:sz w:val="18"/>
        <w:szCs w:val="18"/>
        <w:lang w:val="kk-KZ"/>
      </w:rPr>
      <w:t>қ ақпараттық шолу</w:t>
    </w:r>
    <w:r>
      <w:rPr>
        <w:rFonts w:ascii="Times New Roman" w:hAnsi="Times New Roman" w:cs="Mangal"/>
        <w:i/>
        <w:sz w:val="18"/>
        <w:szCs w:val="18"/>
        <w:lang w:val="x-none" w:eastAsia="x-none" w:bidi="sa-IN"/>
      </w:rPr>
      <w:t>.</w:t>
    </w:r>
  </w:p>
  <w:p w:rsidR="00B86341" w:rsidRDefault="00CA5045" w:rsidP="009852E1">
    <w:pPr>
      <w:pStyle w:val="ab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09A"/>
    <w:multiLevelType w:val="multilevel"/>
    <w:tmpl w:val="D3E45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D860EF2"/>
    <w:multiLevelType w:val="hybridMultilevel"/>
    <w:tmpl w:val="303E289C"/>
    <w:lvl w:ilvl="0" w:tplc="48986D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11DA0"/>
    <w:multiLevelType w:val="multilevel"/>
    <w:tmpl w:val="7700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trike w:val="0"/>
        <w:shadow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9089F"/>
    <w:multiLevelType w:val="multilevel"/>
    <w:tmpl w:val="D2F00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68D652A"/>
    <w:multiLevelType w:val="hybridMultilevel"/>
    <w:tmpl w:val="A732A7DE"/>
    <w:lvl w:ilvl="0" w:tplc="5AD89C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8366DB"/>
    <w:multiLevelType w:val="hybridMultilevel"/>
    <w:tmpl w:val="F072C534"/>
    <w:lvl w:ilvl="0" w:tplc="4BEAE32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E065B4"/>
    <w:multiLevelType w:val="hybridMultilevel"/>
    <w:tmpl w:val="5948B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15F0"/>
    <w:multiLevelType w:val="hybridMultilevel"/>
    <w:tmpl w:val="99C822B4"/>
    <w:lvl w:ilvl="0" w:tplc="1D36F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93A81"/>
    <w:multiLevelType w:val="hybridMultilevel"/>
    <w:tmpl w:val="1F22D6C8"/>
    <w:lvl w:ilvl="0" w:tplc="3F90FA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9">
    <w:nsid w:val="323E2574"/>
    <w:multiLevelType w:val="hybridMultilevel"/>
    <w:tmpl w:val="B8A40AF8"/>
    <w:lvl w:ilvl="0" w:tplc="6D9EBC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2650A08"/>
    <w:multiLevelType w:val="multilevel"/>
    <w:tmpl w:val="85C092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trike w:val="0"/>
        <w:shadow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30DEF"/>
    <w:multiLevelType w:val="hybridMultilevel"/>
    <w:tmpl w:val="30EA01C0"/>
    <w:lvl w:ilvl="0" w:tplc="935E1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D5313A"/>
    <w:multiLevelType w:val="multilevel"/>
    <w:tmpl w:val="7700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trike w:val="0"/>
        <w:shadow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941AB"/>
    <w:multiLevelType w:val="hybridMultilevel"/>
    <w:tmpl w:val="2216F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E79D6"/>
    <w:multiLevelType w:val="hybridMultilevel"/>
    <w:tmpl w:val="AE708CB4"/>
    <w:lvl w:ilvl="0" w:tplc="12A48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1E4D54"/>
    <w:multiLevelType w:val="hybridMultilevel"/>
    <w:tmpl w:val="9AE6F0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64F1610"/>
    <w:multiLevelType w:val="hybridMultilevel"/>
    <w:tmpl w:val="0004F260"/>
    <w:lvl w:ilvl="0" w:tplc="00FAD49A">
      <w:start w:val="1"/>
      <w:numFmt w:val="decimal"/>
      <w:lvlText w:val="%1."/>
      <w:lvlJc w:val="left"/>
      <w:pPr>
        <w:ind w:left="360" w:hanging="360"/>
      </w:pPr>
      <w:rPr>
        <w:b/>
        <w:i/>
        <w:shadow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4FC56D17"/>
    <w:multiLevelType w:val="hybridMultilevel"/>
    <w:tmpl w:val="6A1C4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244CA"/>
    <w:multiLevelType w:val="hybridMultilevel"/>
    <w:tmpl w:val="50CE6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A7F4C"/>
    <w:multiLevelType w:val="hybridMultilevel"/>
    <w:tmpl w:val="6A4099D6"/>
    <w:lvl w:ilvl="0" w:tplc="88081F5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8D81803"/>
    <w:multiLevelType w:val="hybridMultilevel"/>
    <w:tmpl w:val="BDA01626"/>
    <w:lvl w:ilvl="0" w:tplc="1E7CEABC">
      <w:start w:val="1"/>
      <w:numFmt w:val="decimal"/>
      <w:lvlText w:val="%1."/>
      <w:lvlJc w:val="left"/>
      <w:pPr>
        <w:ind w:left="502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99866AA"/>
    <w:multiLevelType w:val="hybridMultilevel"/>
    <w:tmpl w:val="B70E11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A13429A"/>
    <w:multiLevelType w:val="hybridMultilevel"/>
    <w:tmpl w:val="CB6A2020"/>
    <w:lvl w:ilvl="0" w:tplc="0388D682">
      <w:start w:val="1"/>
      <w:numFmt w:val="decimal"/>
      <w:lvlText w:val="(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447BE"/>
    <w:multiLevelType w:val="hybridMultilevel"/>
    <w:tmpl w:val="2CBA3836"/>
    <w:lvl w:ilvl="0" w:tplc="4A609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951131"/>
    <w:multiLevelType w:val="hybridMultilevel"/>
    <w:tmpl w:val="113438D2"/>
    <w:lvl w:ilvl="0" w:tplc="6D723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3636CE9"/>
    <w:multiLevelType w:val="hybridMultilevel"/>
    <w:tmpl w:val="3574F6BE"/>
    <w:lvl w:ilvl="0" w:tplc="4EBE2FFC">
      <w:start w:val="3"/>
      <w:numFmt w:val="decimal"/>
      <w:lvlText w:val="%1."/>
      <w:lvlJc w:val="left"/>
      <w:pPr>
        <w:ind w:left="502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ADD42E3"/>
    <w:multiLevelType w:val="hybridMultilevel"/>
    <w:tmpl w:val="62BEA2F8"/>
    <w:lvl w:ilvl="0" w:tplc="27568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22"/>
  </w:num>
  <w:num w:numId="4">
    <w:abstractNumId w:val="2"/>
  </w:num>
  <w:num w:numId="5">
    <w:abstractNumId w:val="10"/>
  </w:num>
  <w:num w:numId="6">
    <w:abstractNumId w:val="11"/>
  </w:num>
  <w:num w:numId="7">
    <w:abstractNumId w:val="23"/>
  </w:num>
  <w:num w:numId="8">
    <w:abstractNumId w:val="21"/>
  </w:num>
  <w:num w:numId="9">
    <w:abstractNumId w:val="16"/>
  </w:num>
  <w:num w:numId="10">
    <w:abstractNumId w:val="15"/>
  </w:num>
  <w:num w:numId="11">
    <w:abstractNumId w:val="18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9"/>
  </w:num>
  <w:num w:numId="18">
    <w:abstractNumId w:val="5"/>
  </w:num>
  <w:num w:numId="19">
    <w:abstractNumId w:val="26"/>
  </w:num>
  <w:num w:numId="20">
    <w:abstractNumId w:val="14"/>
  </w:num>
  <w:num w:numId="21">
    <w:abstractNumId w:val="4"/>
  </w:num>
  <w:num w:numId="22">
    <w:abstractNumId w:val="20"/>
  </w:num>
  <w:num w:numId="23">
    <w:abstractNumId w:val="25"/>
  </w:num>
  <w:num w:numId="24">
    <w:abstractNumId w:val="19"/>
  </w:num>
  <w:num w:numId="25">
    <w:abstractNumId w:val="0"/>
  </w:num>
  <w:num w:numId="26">
    <w:abstractNumId w:val="3"/>
  </w:num>
  <w:num w:numId="27">
    <w:abstractNumId w:val="6"/>
  </w:num>
  <w:num w:numId="28">
    <w:abstractNumId w:val="1"/>
  </w:num>
  <w:num w:numId="29">
    <w:abstractNumId w:val="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0A"/>
    <w:rsid w:val="0003338A"/>
    <w:rsid w:val="00062E39"/>
    <w:rsid w:val="000A2684"/>
    <w:rsid w:val="000B32B9"/>
    <w:rsid w:val="000C1B3D"/>
    <w:rsid w:val="000C5BE5"/>
    <w:rsid w:val="000E4F18"/>
    <w:rsid w:val="00102994"/>
    <w:rsid w:val="00131520"/>
    <w:rsid w:val="00167528"/>
    <w:rsid w:val="001A68DE"/>
    <w:rsid w:val="001B1FD7"/>
    <w:rsid w:val="001C1323"/>
    <w:rsid w:val="001C5403"/>
    <w:rsid w:val="001D530E"/>
    <w:rsid w:val="00215406"/>
    <w:rsid w:val="00250DFD"/>
    <w:rsid w:val="0025568D"/>
    <w:rsid w:val="00257908"/>
    <w:rsid w:val="002A207C"/>
    <w:rsid w:val="002B0BD5"/>
    <w:rsid w:val="00350FF4"/>
    <w:rsid w:val="003673C4"/>
    <w:rsid w:val="00370535"/>
    <w:rsid w:val="003851BC"/>
    <w:rsid w:val="003A4AB3"/>
    <w:rsid w:val="003C32E9"/>
    <w:rsid w:val="003F68F8"/>
    <w:rsid w:val="004A175F"/>
    <w:rsid w:val="004C1F06"/>
    <w:rsid w:val="004C33D2"/>
    <w:rsid w:val="00500638"/>
    <w:rsid w:val="00551AC3"/>
    <w:rsid w:val="00573C96"/>
    <w:rsid w:val="005836F9"/>
    <w:rsid w:val="00586938"/>
    <w:rsid w:val="0058741D"/>
    <w:rsid w:val="005A53CA"/>
    <w:rsid w:val="005B11FE"/>
    <w:rsid w:val="005E0D42"/>
    <w:rsid w:val="005E4C4B"/>
    <w:rsid w:val="00604526"/>
    <w:rsid w:val="00604C47"/>
    <w:rsid w:val="00625A2E"/>
    <w:rsid w:val="00637C06"/>
    <w:rsid w:val="00662CC8"/>
    <w:rsid w:val="00685E0E"/>
    <w:rsid w:val="006D2F60"/>
    <w:rsid w:val="00727A0A"/>
    <w:rsid w:val="00733074"/>
    <w:rsid w:val="00734521"/>
    <w:rsid w:val="00741FC1"/>
    <w:rsid w:val="007530CA"/>
    <w:rsid w:val="0076415F"/>
    <w:rsid w:val="00783AE2"/>
    <w:rsid w:val="007B320B"/>
    <w:rsid w:val="007E2EF5"/>
    <w:rsid w:val="00820392"/>
    <w:rsid w:val="0082678B"/>
    <w:rsid w:val="00852CE9"/>
    <w:rsid w:val="008663B6"/>
    <w:rsid w:val="00882059"/>
    <w:rsid w:val="008B005D"/>
    <w:rsid w:val="008C10E7"/>
    <w:rsid w:val="009243CE"/>
    <w:rsid w:val="0093222F"/>
    <w:rsid w:val="00935AEA"/>
    <w:rsid w:val="00951A64"/>
    <w:rsid w:val="009863F0"/>
    <w:rsid w:val="00986CD4"/>
    <w:rsid w:val="009929EA"/>
    <w:rsid w:val="009E2FD5"/>
    <w:rsid w:val="00A028FF"/>
    <w:rsid w:val="00A53254"/>
    <w:rsid w:val="00A6617A"/>
    <w:rsid w:val="00B358D3"/>
    <w:rsid w:val="00B52802"/>
    <w:rsid w:val="00B66915"/>
    <w:rsid w:val="00B82756"/>
    <w:rsid w:val="00BA350B"/>
    <w:rsid w:val="00BC2AC5"/>
    <w:rsid w:val="00BD26AA"/>
    <w:rsid w:val="00C34211"/>
    <w:rsid w:val="00C5101C"/>
    <w:rsid w:val="00C572EF"/>
    <w:rsid w:val="00C8517B"/>
    <w:rsid w:val="00CA5045"/>
    <w:rsid w:val="00CC5139"/>
    <w:rsid w:val="00CE375B"/>
    <w:rsid w:val="00D26E32"/>
    <w:rsid w:val="00D36A65"/>
    <w:rsid w:val="00DC1D6A"/>
    <w:rsid w:val="00DF2A06"/>
    <w:rsid w:val="00DF3173"/>
    <w:rsid w:val="00DF5235"/>
    <w:rsid w:val="00E174C2"/>
    <w:rsid w:val="00E545D2"/>
    <w:rsid w:val="00E72F72"/>
    <w:rsid w:val="00E92351"/>
    <w:rsid w:val="00EA707D"/>
    <w:rsid w:val="00EB352D"/>
    <w:rsid w:val="00EE7656"/>
    <w:rsid w:val="00F146D2"/>
    <w:rsid w:val="00F24D55"/>
    <w:rsid w:val="00F36EC6"/>
    <w:rsid w:val="00F46974"/>
    <w:rsid w:val="00F811DD"/>
    <w:rsid w:val="00F86856"/>
    <w:rsid w:val="00FA3B57"/>
    <w:rsid w:val="00F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D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B1FD7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32"/>
      <w:lang w:val="x-none" w:bidi="sa-IN"/>
    </w:rPr>
  </w:style>
  <w:style w:type="paragraph" w:styleId="2">
    <w:name w:val="heading 2"/>
    <w:basedOn w:val="a"/>
    <w:next w:val="a"/>
    <w:link w:val="20"/>
    <w:uiPriority w:val="9"/>
    <w:unhideWhenUsed/>
    <w:qFormat/>
    <w:rsid w:val="001B1F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FD7"/>
    <w:rPr>
      <w:rFonts w:ascii="Cambria" w:eastAsia="Times New Roman" w:hAnsi="Cambria" w:cs="Mangal"/>
      <w:b/>
      <w:bCs/>
      <w:kern w:val="32"/>
      <w:sz w:val="32"/>
      <w:szCs w:val="32"/>
      <w:lang w:val="x-none" w:bidi="sa-IN"/>
    </w:rPr>
  </w:style>
  <w:style w:type="character" w:customStyle="1" w:styleId="20">
    <w:name w:val="Заголовок 2 Знак"/>
    <w:basedOn w:val="a0"/>
    <w:link w:val="2"/>
    <w:uiPriority w:val="9"/>
    <w:rsid w:val="001B1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B1FD7"/>
    <w:pPr>
      <w:spacing w:after="0" w:line="240" w:lineRule="auto"/>
    </w:pPr>
    <w:rPr>
      <w:rFonts w:ascii="Tahoma" w:hAnsi="Tahoma" w:cs="Mangal"/>
      <w:sz w:val="16"/>
      <w:szCs w:val="16"/>
      <w:lang w:val="x-none" w:eastAsia="x-none" w:bidi="sa-IN"/>
    </w:rPr>
  </w:style>
  <w:style w:type="character" w:customStyle="1" w:styleId="a4">
    <w:name w:val="Текст выноски Знак"/>
    <w:basedOn w:val="a0"/>
    <w:link w:val="a3"/>
    <w:uiPriority w:val="99"/>
    <w:semiHidden/>
    <w:rsid w:val="001B1FD7"/>
    <w:rPr>
      <w:rFonts w:ascii="Tahoma" w:eastAsia="Calibri" w:hAnsi="Tahoma" w:cs="Mangal"/>
      <w:sz w:val="16"/>
      <w:szCs w:val="16"/>
      <w:lang w:val="x-none" w:eastAsia="x-none" w:bidi="sa-IN"/>
    </w:rPr>
  </w:style>
  <w:style w:type="paragraph" w:styleId="a5">
    <w:name w:val="footnote text"/>
    <w:basedOn w:val="a"/>
    <w:link w:val="a6"/>
    <w:semiHidden/>
    <w:rsid w:val="001B1FD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x-none" w:eastAsia="ru-RU" w:bidi="sa-IN"/>
    </w:rPr>
  </w:style>
  <w:style w:type="character" w:customStyle="1" w:styleId="a6">
    <w:name w:val="Текст сноски Знак"/>
    <w:basedOn w:val="a0"/>
    <w:link w:val="a5"/>
    <w:semiHidden/>
    <w:rsid w:val="001B1FD7"/>
    <w:rPr>
      <w:rFonts w:ascii="Times New Roman" w:eastAsia="Times New Roman" w:hAnsi="Times New Roman" w:cs="Mangal"/>
      <w:sz w:val="20"/>
      <w:szCs w:val="20"/>
      <w:lang w:val="x-none" w:eastAsia="ru-RU" w:bidi="sa-IN"/>
    </w:rPr>
  </w:style>
  <w:style w:type="character" w:styleId="a7">
    <w:name w:val="footnote reference"/>
    <w:semiHidden/>
    <w:rsid w:val="001B1FD7"/>
    <w:rPr>
      <w:vertAlign w:val="superscript"/>
    </w:rPr>
  </w:style>
  <w:style w:type="paragraph" w:styleId="a8">
    <w:name w:val="caption"/>
    <w:basedOn w:val="a"/>
    <w:next w:val="a"/>
    <w:uiPriority w:val="35"/>
    <w:qFormat/>
    <w:rsid w:val="001B1FD7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B1FD7"/>
    <w:pPr>
      <w:spacing w:after="0" w:line="240" w:lineRule="auto"/>
    </w:pPr>
    <w:rPr>
      <w:rFonts w:ascii="Tahoma" w:hAnsi="Tahoma" w:cs="Mangal"/>
      <w:sz w:val="16"/>
      <w:szCs w:val="16"/>
      <w:lang w:val="x-none" w:eastAsia="x-none" w:bidi="sa-IN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B1FD7"/>
    <w:rPr>
      <w:rFonts w:ascii="Tahoma" w:eastAsia="Calibri" w:hAnsi="Tahoma" w:cs="Mangal"/>
      <w:sz w:val="16"/>
      <w:szCs w:val="16"/>
      <w:lang w:val="x-none" w:eastAsia="x-none" w:bidi="sa-IN"/>
    </w:rPr>
  </w:style>
  <w:style w:type="paragraph" w:styleId="ab">
    <w:name w:val="header"/>
    <w:basedOn w:val="a"/>
    <w:link w:val="ac"/>
    <w:uiPriority w:val="99"/>
    <w:unhideWhenUsed/>
    <w:rsid w:val="001B1FD7"/>
    <w:pPr>
      <w:tabs>
        <w:tab w:val="center" w:pos="4677"/>
        <w:tab w:val="right" w:pos="9355"/>
      </w:tabs>
      <w:spacing w:after="0"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c">
    <w:name w:val="Верхний колонтитул Знак"/>
    <w:basedOn w:val="a0"/>
    <w:link w:val="ab"/>
    <w:uiPriority w:val="99"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d">
    <w:name w:val="footer"/>
    <w:basedOn w:val="a"/>
    <w:link w:val="ae"/>
    <w:uiPriority w:val="99"/>
    <w:unhideWhenUsed/>
    <w:rsid w:val="001B1FD7"/>
    <w:pPr>
      <w:tabs>
        <w:tab w:val="center" w:pos="4677"/>
        <w:tab w:val="right" w:pos="9355"/>
      </w:tabs>
      <w:spacing w:after="0"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e">
    <w:name w:val="Нижний колонтитул Знак"/>
    <w:basedOn w:val="a0"/>
    <w:link w:val="ad"/>
    <w:uiPriority w:val="99"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f">
    <w:name w:val="List Paragraph"/>
    <w:basedOn w:val="a"/>
    <w:uiPriority w:val="34"/>
    <w:qFormat/>
    <w:rsid w:val="001B1FD7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B1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1B1FD7"/>
    <w:rPr>
      <w:color w:val="0000FF"/>
      <w:u w:val="single"/>
    </w:rPr>
  </w:style>
  <w:style w:type="table" w:styleId="af2">
    <w:name w:val="Table Grid"/>
    <w:basedOn w:val="a1"/>
    <w:uiPriority w:val="59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1B1FD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B1FD7"/>
    <w:pPr>
      <w:spacing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FD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B1FD7"/>
    <w:rPr>
      <w:rFonts w:ascii="Calibri" w:eastAsia="Calibri" w:hAnsi="Calibri" w:cs="Mangal"/>
      <w:b/>
      <w:bCs/>
      <w:sz w:val="20"/>
      <w:szCs w:val="20"/>
      <w:lang w:val="x-none" w:eastAsia="x-none" w:bidi="sa-IN"/>
    </w:rPr>
  </w:style>
  <w:style w:type="paragraph" w:styleId="af8">
    <w:name w:val="Revision"/>
    <w:hidden/>
    <w:uiPriority w:val="99"/>
    <w:semiHidden/>
    <w:rsid w:val="001B1FD7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Strong"/>
    <w:uiPriority w:val="22"/>
    <w:qFormat/>
    <w:rsid w:val="001B1FD7"/>
    <w:rPr>
      <w:b/>
      <w:bCs/>
    </w:rPr>
  </w:style>
  <w:style w:type="character" w:customStyle="1" w:styleId="afa">
    <w:name w:val="Текст концевой сноски Знак"/>
    <w:link w:val="afb"/>
    <w:uiPriority w:val="99"/>
    <w:semiHidden/>
    <w:rsid w:val="001B1FD7"/>
  </w:style>
  <w:style w:type="paragraph" w:styleId="afb">
    <w:name w:val="endnote text"/>
    <w:basedOn w:val="a"/>
    <w:link w:val="afa"/>
    <w:uiPriority w:val="99"/>
    <w:semiHidden/>
    <w:unhideWhenUsed/>
    <w:rsid w:val="001B1FD7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1">
    <w:name w:val="Текст концевой сноски Знак1"/>
    <w:basedOn w:val="a0"/>
    <w:uiPriority w:val="99"/>
    <w:semiHidden/>
    <w:rsid w:val="001B1FD7"/>
    <w:rPr>
      <w:rFonts w:ascii="Calibri" w:eastAsia="Calibri" w:hAnsi="Calibri" w:cs="Times New Roman"/>
      <w:sz w:val="20"/>
      <w:szCs w:val="20"/>
    </w:rPr>
  </w:style>
  <w:style w:type="paragraph" w:styleId="afc">
    <w:name w:val="No Spacing"/>
    <w:link w:val="afd"/>
    <w:uiPriority w:val="1"/>
    <w:qFormat/>
    <w:rsid w:val="001B1FD7"/>
    <w:pPr>
      <w:spacing w:after="0" w:line="240" w:lineRule="auto"/>
    </w:pPr>
    <w:rPr>
      <w:rFonts w:ascii="Calibri" w:eastAsia="Calibri" w:hAnsi="Calibri" w:cs="Times New Roman"/>
    </w:rPr>
  </w:style>
  <w:style w:type="character" w:styleId="afe">
    <w:name w:val="endnote reference"/>
    <w:uiPriority w:val="99"/>
    <w:semiHidden/>
    <w:unhideWhenUsed/>
    <w:rsid w:val="001B1FD7"/>
    <w:rPr>
      <w:vertAlign w:val="superscript"/>
    </w:rPr>
  </w:style>
  <w:style w:type="table" w:customStyle="1" w:styleId="12">
    <w:name w:val="Светлая заливка1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-3">
    <w:name w:val="Medium Grid 1 Accent 3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Colorful Grid Accent 3"/>
    <w:basedOn w:val="a1"/>
    <w:uiPriority w:val="73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">
    <w:name w:val="Medium Shading 2 Accent 3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List 2 Accent 6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2">
    <w:name w:val="Light Shading Accent 2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List 1 Accent 2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character" w:customStyle="1" w:styleId="s1">
    <w:name w:val="s1"/>
    <w:rsid w:val="001B1FD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1B1F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table" w:styleId="1-30">
    <w:name w:val="Medium Shading 1 Accent 3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List 1 Accent 6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0">
    <w:name w:val="Medium Grid 1 Accent 6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4">
    <w:name w:val="Medium Grid 1 Accent 4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11">
    <w:name w:val="Средний список 1 - Акцент 11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11">
    <w:name w:val="Светлая заливка - Акцент 11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Shading Accent 5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ff">
    <w:name w:val="Emphasis"/>
    <w:uiPriority w:val="20"/>
    <w:qFormat/>
    <w:rsid w:val="001B1FD7"/>
    <w:rPr>
      <w:i/>
      <w:iCs/>
    </w:rPr>
  </w:style>
  <w:style w:type="character" w:customStyle="1" w:styleId="apple-converted-space">
    <w:name w:val="apple-converted-space"/>
    <w:rsid w:val="001B1FD7"/>
  </w:style>
  <w:style w:type="character" w:styleId="aff0">
    <w:name w:val="FollowedHyperlink"/>
    <w:uiPriority w:val="99"/>
    <w:semiHidden/>
    <w:unhideWhenUsed/>
    <w:rsid w:val="001B1FD7"/>
    <w:rPr>
      <w:color w:val="800080"/>
      <w:u w:val="single"/>
    </w:rPr>
  </w:style>
  <w:style w:type="table" w:customStyle="1" w:styleId="-12">
    <w:name w:val="Светлая заливка - Акцент 12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сетка - Акцент 11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0">
    <w:name w:val="Light Grid Accent 2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0">
    <w:name w:val="Light Grid Accent 3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21">
    <w:name w:val="Средний список 21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60">
    <w:name w:val="Medium Shading 2 Accent 6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1">
    <w:name w:val="Medium Shading 1 Accent 6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Grid Accent 6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4">
    <w:name w:val="Light Grid Accent 4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2-4">
    <w:name w:val="Medium Shading 2 Accent 4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Shading 1 Accent 4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0">
    <w:name w:val="Light List Accent 4"/>
    <w:basedOn w:val="a1"/>
    <w:uiPriority w:val="61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-40">
    <w:name w:val="Medium List 2 Accent 4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Grid Accent 5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1">
    <w:name w:val="Medium List 2 Accent 1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1">
    <w:name w:val="Medium Grid 2 Accent 4"/>
    <w:basedOn w:val="a1"/>
    <w:uiPriority w:val="68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1"/>
    <w:uiPriority w:val="68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41">
    <w:name w:val="Light Shading Accent 4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f1">
    <w:name w:val="Subtitle"/>
    <w:basedOn w:val="a"/>
    <w:next w:val="a"/>
    <w:link w:val="aff2"/>
    <w:uiPriority w:val="11"/>
    <w:qFormat/>
    <w:rsid w:val="001B1FD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1B1FD7"/>
    <w:rPr>
      <w:rFonts w:ascii="Cambria" w:eastAsia="Times New Roman" w:hAnsi="Cambria" w:cs="Times New Roman"/>
      <w:sz w:val="24"/>
      <w:szCs w:val="24"/>
    </w:rPr>
  </w:style>
  <w:style w:type="paragraph" w:styleId="aff3">
    <w:name w:val="TOC Heading"/>
    <w:basedOn w:val="1"/>
    <w:next w:val="a"/>
    <w:uiPriority w:val="39"/>
    <w:unhideWhenUsed/>
    <w:qFormat/>
    <w:rsid w:val="001B1FD7"/>
    <w:pPr>
      <w:keepLines/>
      <w:spacing w:before="480" w:after="0"/>
      <w:outlineLvl w:val="9"/>
    </w:pPr>
    <w:rPr>
      <w:rFonts w:cs="Times New Roman"/>
      <w:color w:val="365F91"/>
      <w:kern w:val="0"/>
      <w:sz w:val="28"/>
      <w:szCs w:val="28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1B1FD7"/>
  </w:style>
  <w:style w:type="paragraph" w:styleId="22">
    <w:name w:val="toc 2"/>
    <w:basedOn w:val="a"/>
    <w:next w:val="a"/>
    <w:autoRedefine/>
    <w:uiPriority w:val="39"/>
    <w:unhideWhenUsed/>
    <w:rsid w:val="001B1FD7"/>
    <w:pPr>
      <w:ind w:left="220"/>
    </w:pPr>
  </w:style>
  <w:style w:type="character" w:customStyle="1" w:styleId="afd">
    <w:name w:val="Без интервала Знак"/>
    <w:link w:val="afc"/>
    <w:uiPriority w:val="1"/>
    <w:rsid w:val="001B1F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D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B1FD7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32"/>
      <w:lang w:val="x-none" w:bidi="sa-IN"/>
    </w:rPr>
  </w:style>
  <w:style w:type="paragraph" w:styleId="2">
    <w:name w:val="heading 2"/>
    <w:basedOn w:val="a"/>
    <w:next w:val="a"/>
    <w:link w:val="20"/>
    <w:uiPriority w:val="9"/>
    <w:unhideWhenUsed/>
    <w:qFormat/>
    <w:rsid w:val="001B1F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FD7"/>
    <w:rPr>
      <w:rFonts w:ascii="Cambria" w:eastAsia="Times New Roman" w:hAnsi="Cambria" w:cs="Mangal"/>
      <w:b/>
      <w:bCs/>
      <w:kern w:val="32"/>
      <w:sz w:val="32"/>
      <w:szCs w:val="32"/>
      <w:lang w:val="x-none" w:bidi="sa-IN"/>
    </w:rPr>
  </w:style>
  <w:style w:type="character" w:customStyle="1" w:styleId="20">
    <w:name w:val="Заголовок 2 Знак"/>
    <w:basedOn w:val="a0"/>
    <w:link w:val="2"/>
    <w:uiPriority w:val="9"/>
    <w:rsid w:val="001B1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B1FD7"/>
    <w:pPr>
      <w:spacing w:after="0" w:line="240" w:lineRule="auto"/>
    </w:pPr>
    <w:rPr>
      <w:rFonts w:ascii="Tahoma" w:hAnsi="Tahoma" w:cs="Mangal"/>
      <w:sz w:val="16"/>
      <w:szCs w:val="16"/>
      <w:lang w:val="x-none" w:eastAsia="x-none" w:bidi="sa-IN"/>
    </w:rPr>
  </w:style>
  <w:style w:type="character" w:customStyle="1" w:styleId="a4">
    <w:name w:val="Текст выноски Знак"/>
    <w:basedOn w:val="a0"/>
    <w:link w:val="a3"/>
    <w:uiPriority w:val="99"/>
    <w:semiHidden/>
    <w:rsid w:val="001B1FD7"/>
    <w:rPr>
      <w:rFonts w:ascii="Tahoma" w:eastAsia="Calibri" w:hAnsi="Tahoma" w:cs="Mangal"/>
      <w:sz w:val="16"/>
      <w:szCs w:val="16"/>
      <w:lang w:val="x-none" w:eastAsia="x-none" w:bidi="sa-IN"/>
    </w:rPr>
  </w:style>
  <w:style w:type="paragraph" w:styleId="a5">
    <w:name w:val="footnote text"/>
    <w:basedOn w:val="a"/>
    <w:link w:val="a6"/>
    <w:semiHidden/>
    <w:rsid w:val="001B1FD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x-none" w:eastAsia="ru-RU" w:bidi="sa-IN"/>
    </w:rPr>
  </w:style>
  <w:style w:type="character" w:customStyle="1" w:styleId="a6">
    <w:name w:val="Текст сноски Знак"/>
    <w:basedOn w:val="a0"/>
    <w:link w:val="a5"/>
    <w:semiHidden/>
    <w:rsid w:val="001B1FD7"/>
    <w:rPr>
      <w:rFonts w:ascii="Times New Roman" w:eastAsia="Times New Roman" w:hAnsi="Times New Roman" w:cs="Mangal"/>
      <w:sz w:val="20"/>
      <w:szCs w:val="20"/>
      <w:lang w:val="x-none" w:eastAsia="ru-RU" w:bidi="sa-IN"/>
    </w:rPr>
  </w:style>
  <w:style w:type="character" w:styleId="a7">
    <w:name w:val="footnote reference"/>
    <w:semiHidden/>
    <w:rsid w:val="001B1FD7"/>
    <w:rPr>
      <w:vertAlign w:val="superscript"/>
    </w:rPr>
  </w:style>
  <w:style w:type="paragraph" w:styleId="a8">
    <w:name w:val="caption"/>
    <w:basedOn w:val="a"/>
    <w:next w:val="a"/>
    <w:uiPriority w:val="35"/>
    <w:qFormat/>
    <w:rsid w:val="001B1FD7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B1FD7"/>
    <w:pPr>
      <w:spacing w:after="0" w:line="240" w:lineRule="auto"/>
    </w:pPr>
    <w:rPr>
      <w:rFonts w:ascii="Tahoma" w:hAnsi="Tahoma" w:cs="Mangal"/>
      <w:sz w:val="16"/>
      <w:szCs w:val="16"/>
      <w:lang w:val="x-none" w:eastAsia="x-none" w:bidi="sa-IN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B1FD7"/>
    <w:rPr>
      <w:rFonts w:ascii="Tahoma" w:eastAsia="Calibri" w:hAnsi="Tahoma" w:cs="Mangal"/>
      <w:sz w:val="16"/>
      <w:szCs w:val="16"/>
      <w:lang w:val="x-none" w:eastAsia="x-none" w:bidi="sa-IN"/>
    </w:rPr>
  </w:style>
  <w:style w:type="paragraph" w:styleId="ab">
    <w:name w:val="header"/>
    <w:basedOn w:val="a"/>
    <w:link w:val="ac"/>
    <w:uiPriority w:val="99"/>
    <w:unhideWhenUsed/>
    <w:rsid w:val="001B1FD7"/>
    <w:pPr>
      <w:tabs>
        <w:tab w:val="center" w:pos="4677"/>
        <w:tab w:val="right" w:pos="9355"/>
      </w:tabs>
      <w:spacing w:after="0"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c">
    <w:name w:val="Верхний колонтитул Знак"/>
    <w:basedOn w:val="a0"/>
    <w:link w:val="ab"/>
    <w:uiPriority w:val="99"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d">
    <w:name w:val="footer"/>
    <w:basedOn w:val="a"/>
    <w:link w:val="ae"/>
    <w:uiPriority w:val="99"/>
    <w:unhideWhenUsed/>
    <w:rsid w:val="001B1FD7"/>
    <w:pPr>
      <w:tabs>
        <w:tab w:val="center" w:pos="4677"/>
        <w:tab w:val="right" w:pos="9355"/>
      </w:tabs>
      <w:spacing w:after="0"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e">
    <w:name w:val="Нижний колонтитул Знак"/>
    <w:basedOn w:val="a0"/>
    <w:link w:val="ad"/>
    <w:uiPriority w:val="99"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f">
    <w:name w:val="List Paragraph"/>
    <w:basedOn w:val="a"/>
    <w:uiPriority w:val="34"/>
    <w:qFormat/>
    <w:rsid w:val="001B1FD7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B1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1B1FD7"/>
    <w:rPr>
      <w:color w:val="0000FF"/>
      <w:u w:val="single"/>
    </w:rPr>
  </w:style>
  <w:style w:type="table" w:styleId="af2">
    <w:name w:val="Table Grid"/>
    <w:basedOn w:val="a1"/>
    <w:uiPriority w:val="59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1B1FD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B1FD7"/>
    <w:pPr>
      <w:spacing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FD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B1FD7"/>
    <w:rPr>
      <w:rFonts w:ascii="Calibri" w:eastAsia="Calibri" w:hAnsi="Calibri" w:cs="Mangal"/>
      <w:b/>
      <w:bCs/>
      <w:sz w:val="20"/>
      <w:szCs w:val="20"/>
      <w:lang w:val="x-none" w:eastAsia="x-none" w:bidi="sa-IN"/>
    </w:rPr>
  </w:style>
  <w:style w:type="paragraph" w:styleId="af8">
    <w:name w:val="Revision"/>
    <w:hidden/>
    <w:uiPriority w:val="99"/>
    <w:semiHidden/>
    <w:rsid w:val="001B1FD7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Strong"/>
    <w:uiPriority w:val="22"/>
    <w:qFormat/>
    <w:rsid w:val="001B1FD7"/>
    <w:rPr>
      <w:b/>
      <w:bCs/>
    </w:rPr>
  </w:style>
  <w:style w:type="character" w:customStyle="1" w:styleId="afa">
    <w:name w:val="Текст концевой сноски Знак"/>
    <w:link w:val="afb"/>
    <w:uiPriority w:val="99"/>
    <w:semiHidden/>
    <w:rsid w:val="001B1FD7"/>
  </w:style>
  <w:style w:type="paragraph" w:styleId="afb">
    <w:name w:val="endnote text"/>
    <w:basedOn w:val="a"/>
    <w:link w:val="afa"/>
    <w:uiPriority w:val="99"/>
    <w:semiHidden/>
    <w:unhideWhenUsed/>
    <w:rsid w:val="001B1FD7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1">
    <w:name w:val="Текст концевой сноски Знак1"/>
    <w:basedOn w:val="a0"/>
    <w:uiPriority w:val="99"/>
    <w:semiHidden/>
    <w:rsid w:val="001B1FD7"/>
    <w:rPr>
      <w:rFonts w:ascii="Calibri" w:eastAsia="Calibri" w:hAnsi="Calibri" w:cs="Times New Roman"/>
      <w:sz w:val="20"/>
      <w:szCs w:val="20"/>
    </w:rPr>
  </w:style>
  <w:style w:type="paragraph" w:styleId="afc">
    <w:name w:val="No Spacing"/>
    <w:link w:val="afd"/>
    <w:uiPriority w:val="1"/>
    <w:qFormat/>
    <w:rsid w:val="001B1FD7"/>
    <w:pPr>
      <w:spacing w:after="0" w:line="240" w:lineRule="auto"/>
    </w:pPr>
    <w:rPr>
      <w:rFonts w:ascii="Calibri" w:eastAsia="Calibri" w:hAnsi="Calibri" w:cs="Times New Roman"/>
    </w:rPr>
  </w:style>
  <w:style w:type="character" w:styleId="afe">
    <w:name w:val="endnote reference"/>
    <w:uiPriority w:val="99"/>
    <w:semiHidden/>
    <w:unhideWhenUsed/>
    <w:rsid w:val="001B1FD7"/>
    <w:rPr>
      <w:vertAlign w:val="superscript"/>
    </w:rPr>
  </w:style>
  <w:style w:type="table" w:customStyle="1" w:styleId="12">
    <w:name w:val="Светлая заливка1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-3">
    <w:name w:val="Medium Grid 1 Accent 3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Colorful Grid Accent 3"/>
    <w:basedOn w:val="a1"/>
    <w:uiPriority w:val="73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">
    <w:name w:val="Medium Shading 2 Accent 3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List 2 Accent 6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2">
    <w:name w:val="Light Shading Accent 2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List 1 Accent 2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character" w:customStyle="1" w:styleId="s1">
    <w:name w:val="s1"/>
    <w:rsid w:val="001B1FD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1B1F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table" w:styleId="1-30">
    <w:name w:val="Medium Shading 1 Accent 3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List 1 Accent 6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0">
    <w:name w:val="Medium Grid 1 Accent 6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4">
    <w:name w:val="Medium Grid 1 Accent 4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11">
    <w:name w:val="Средний список 1 - Акцент 11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11">
    <w:name w:val="Светлая заливка - Акцент 11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Shading Accent 5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ff">
    <w:name w:val="Emphasis"/>
    <w:uiPriority w:val="20"/>
    <w:qFormat/>
    <w:rsid w:val="001B1FD7"/>
    <w:rPr>
      <w:i/>
      <w:iCs/>
    </w:rPr>
  </w:style>
  <w:style w:type="character" w:customStyle="1" w:styleId="apple-converted-space">
    <w:name w:val="apple-converted-space"/>
    <w:rsid w:val="001B1FD7"/>
  </w:style>
  <w:style w:type="character" w:styleId="aff0">
    <w:name w:val="FollowedHyperlink"/>
    <w:uiPriority w:val="99"/>
    <w:semiHidden/>
    <w:unhideWhenUsed/>
    <w:rsid w:val="001B1FD7"/>
    <w:rPr>
      <w:color w:val="800080"/>
      <w:u w:val="single"/>
    </w:rPr>
  </w:style>
  <w:style w:type="table" w:customStyle="1" w:styleId="-12">
    <w:name w:val="Светлая заливка - Акцент 12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сетка - Акцент 11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0">
    <w:name w:val="Light Grid Accent 2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0">
    <w:name w:val="Light Grid Accent 3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21">
    <w:name w:val="Средний список 21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60">
    <w:name w:val="Medium Shading 2 Accent 6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1">
    <w:name w:val="Medium Shading 1 Accent 6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Grid Accent 6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4">
    <w:name w:val="Light Grid Accent 4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2-4">
    <w:name w:val="Medium Shading 2 Accent 4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Shading 1 Accent 4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0">
    <w:name w:val="Light List Accent 4"/>
    <w:basedOn w:val="a1"/>
    <w:uiPriority w:val="61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-40">
    <w:name w:val="Medium List 2 Accent 4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Grid Accent 5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1">
    <w:name w:val="Medium List 2 Accent 1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1">
    <w:name w:val="Medium Grid 2 Accent 4"/>
    <w:basedOn w:val="a1"/>
    <w:uiPriority w:val="68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1"/>
    <w:uiPriority w:val="68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41">
    <w:name w:val="Light Shading Accent 4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f1">
    <w:name w:val="Subtitle"/>
    <w:basedOn w:val="a"/>
    <w:next w:val="a"/>
    <w:link w:val="aff2"/>
    <w:uiPriority w:val="11"/>
    <w:qFormat/>
    <w:rsid w:val="001B1FD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1B1FD7"/>
    <w:rPr>
      <w:rFonts w:ascii="Cambria" w:eastAsia="Times New Roman" w:hAnsi="Cambria" w:cs="Times New Roman"/>
      <w:sz w:val="24"/>
      <w:szCs w:val="24"/>
    </w:rPr>
  </w:style>
  <w:style w:type="paragraph" w:styleId="aff3">
    <w:name w:val="TOC Heading"/>
    <w:basedOn w:val="1"/>
    <w:next w:val="a"/>
    <w:uiPriority w:val="39"/>
    <w:unhideWhenUsed/>
    <w:qFormat/>
    <w:rsid w:val="001B1FD7"/>
    <w:pPr>
      <w:keepLines/>
      <w:spacing w:before="480" w:after="0"/>
      <w:outlineLvl w:val="9"/>
    </w:pPr>
    <w:rPr>
      <w:rFonts w:cs="Times New Roman"/>
      <w:color w:val="365F91"/>
      <w:kern w:val="0"/>
      <w:sz w:val="28"/>
      <w:szCs w:val="28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1B1FD7"/>
  </w:style>
  <w:style w:type="paragraph" w:styleId="22">
    <w:name w:val="toc 2"/>
    <w:basedOn w:val="a"/>
    <w:next w:val="a"/>
    <w:autoRedefine/>
    <w:uiPriority w:val="39"/>
    <w:unhideWhenUsed/>
    <w:rsid w:val="001B1FD7"/>
    <w:pPr>
      <w:ind w:left="220"/>
    </w:pPr>
  </w:style>
  <w:style w:type="character" w:customStyle="1" w:styleId="afd">
    <w:name w:val="Без интервала Знак"/>
    <w:link w:val="afc"/>
    <w:uiPriority w:val="1"/>
    <w:rsid w:val="001B1F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2015_&#1050;&#1088;&#1072;&#1090;&#1082;&#1080;&#1081;%20&#1086;&#1073;&#1079;&#1086;&#1088;\&#1075;&#1088;&#1072;&#1092;&#1080;&#1082;&#1080;%20&#1076;&#1083;&#1103;%20&#1082;&#1088;&#1072;&#1090;&#1082;&#1086;&#1075;&#1086;%20&#1086;&#1073;&#1079;&#1086;&#1088;&#1072;%20&#1079;&#1072;%201%20&#1082;&#1074;.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2015_&#1050;&#1088;&#1072;&#1090;&#1082;&#1080;&#1081;%20&#1086;&#1073;&#1079;&#1086;&#1088;\&#1075;&#1088;&#1072;&#1092;&#1080;&#1082;&#1080;%20&#1076;&#1083;&#1103;%20&#1082;&#1088;&#1072;&#1090;&#1082;&#1086;&#1075;&#1086;%20&#1086;&#1073;&#1079;&#1086;&#1088;&#1072;%20&#1079;&#1072;%201%20&#1082;&#1074;.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2015_&#1050;&#1088;&#1072;&#1090;&#1082;&#1080;&#1081;%20&#1086;&#1073;&#1079;&#1086;&#1088;\&#1075;&#1088;&#1072;&#1092;&#1080;&#1082;&#1080;%20&#1076;&#1083;&#1103;%20&#1082;&#1088;&#1072;&#1090;&#1082;&#1086;&#1075;&#1086;%20&#1086;&#1073;&#1079;&#1086;&#1088;&#1072;%20&#1079;&#1072;%201%20&#1082;&#1074;.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696281714785652"/>
          <c:y val="5.0925925925925923E-2"/>
          <c:w val="0.7991482939632546"/>
          <c:h val="0.764423665791776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'деп. база_по валютам'!$C$7</c:f>
              <c:strCache>
                <c:ptCount val="1"/>
                <c:pt idx="0">
                  <c:v>теңге</c:v>
                </c:pt>
              </c:strCache>
            </c:strRef>
          </c:tx>
          <c:spPr>
            <a:solidFill>
              <a:srgbClr val="E12405"/>
            </a:solidFill>
          </c:spPr>
          <c:invertIfNegative val="0"/>
          <c:dLbls>
            <c:dLbl>
              <c:idx val="0"/>
              <c:layout>
                <c:manualLayout>
                  <c:x val="5.5555555555555558E-3"/>
                  <c:y val="-9.25962379702537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5833333333333333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331146106736653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555555555555558E-3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7777777777777779E-3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'деп. база_по валютам'!$D$6:$I$6</c:f>
              <c:numCache>
                <c:formatCode>m/d/yyyy</c:formatCode>
                <c:ptCount val="6"/>
                <c:pt idx="0">
                  <c:v>41640</c:v>
                </c:pt>
                <c:pt idx="1">
                  <c:v>41730</c:v>
                </c:pt>
                <c:pt idx="2">
                  <c:v>41821</c:v>
                </c:pt>
                <c:pt idx="3">
                  <c:v>41913</c:v>
                </c:pt>
                <c:pt idx="4">
                  <c:v>42005</c:v>
                </c:pt>
                <c:pt idx="5">
                  <c:v>42095</c:v>
                </c:pt>
              </c:numCache>
            </c:numRef>
          </c:cat>
          <c:val>
            <c:numRef>
              <c:f>'деп. база_по валютам'!$D$7:$I$7</c:f>
              <c:numCache>
                <c:formatCode>_-* #,##0_-;\-* #,##0_-;_-* "-"??_-;_-@_-</c:formatCode>
                <c:ptCount val="6"/>
                <c:pt idx="0">
                  <c:v>2208.1063730000001</c:v>
                </c:pt>
                <c:pt idx="1">
                  <c:v>1883.6155000000001</c:v>
                </c:pt>
                <c:pt idx="2">
                  <c:v>2026.810401</c:v>
                </c:pt>
                <c:pt idx="3">
                  <c:v>1960.77684</c:v>
                </c:pt>
                <c:pt idx="4">
                  <c:v>1442.8637180999999</c:v>
                </c:pt>
                <c:pt idx="5">
                  <c:v>1395.377575</c:v>
                </c:pt>
              </c:numCache>
            </c:numRef>
          </c:val>
        </c:ser>
        <c:ser>
          <c:idx val="1"/>
          <c:order val="1"/>
          <c:tx>
            <c:strRef>
              <c:f>'деп. база_по валютам'!$C$8</c:f>
              <c:strCache>
                <c:ptCount val="1"/>
                <c:pt idx="0">
                  <c:v>шет. валютасы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'деп. база_по валютам'!$D$6:$I$6</c:f>
              <c:numCache>
                <c:formatCode>m/d/yyyy</c:formatCode>
                <c:ptCount val="6"/>
                <c:pt idx="0">
                  <c:v>41640</c:v>
                </c:pt>
                <c:pt idx="1">
                  <c:v>41730</c:v>
                </c:pt>
                <c:pt idx="2">
                  <c:v>41821</c:v>
                </c:pt>
                <c:pt idx="3">
                  <c:v>41913</c:v>
                </c:pt>
                <c:pt idx="4">
                  <c:v>42005</c:v>
                </c:pt>
                <c:pt idx="5">
                  <c:v>42095</c:v>
                </c:pt>
              </c:numCache>
            </c:numRef>
          </c:cat>
          <c:val>
            <c:numRef>
              <c:f>'деп. база_по валютам'!$D$8:$I$8</c:f>
              <c:numCache>
                <c:formatCode>_-* #,##0_-;\-* #,##0_-;_-* "-"??_-;_-@_-</c:formatCode>
                <c:ptCount val="6"/>
                <c:pt idx="0">
                  <c:v>1737.3991619999999</c:v>
                </c:pt>
                <c:pt idx="1">
                  <c:v>2247.9752979999998</c:v>
                </c:pt>
                <c:pt idx="2">
                  <c:v>2337.8701639999999</c:v>
                </c:pt>
                <c:pt idx="3">
                  <c:v>2422.048726</c:v>
                </c:pt>
                <c:pt idx="4">
                  <c:v>2994.9015182300004</c:v>
                </c:pt>
                <c:pt idx="5">
                  <c:v>2902.260264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52544768"/>
        <c:axId val="152546688"/>
      </c:barChart>
      <c:dateAx>
        <c:axId val="152544768"/>
        <c:scaling>
          <c:orientation val="minMax"/>
        </c:scaling>
        <c:delete val="0"/>
        <c:axPos val="l"/>
        <c:numFmt formatCode="dd/mm/yy;@" sourceLinked="0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ru-RU"/>
          </a:p>
        </c:txPr>
        <c:crossAx val="152546688"/>
        <c:crosses val="autoZero"/>
        <c:auto val="1"/>
        <c:lblOffset val="100"/>
        <c:baseTimeUnit val="months"/>
        <c:majorUnit val="3"/>
        <c:majorTimeUnit val="months"/>
        <c:minorUnit val="3"/>
        <c:minorTimeUnit val="months"/>
      </c:dateAx>
      <c:valAx>
        <c:axId val="152546688"/>
        <c:scaling>
          <c:orientation val="minMax"/>
          <c:max val="3000"/>
        </c:scaling>
        <c:delete val="0"/>
        <c:axPos val="b"/>
        <c:majorGridlines>
          <c:spPr>
            <a:ln w="3175">
              <a:solidFill>
                <a:schemeClr val="bg1">
                  <a:lumMod val="75000"/>
                </a:schemeClr>
              </a:solidFill>
              <a:prstDash val="dash"/>
            </a:ln>
          </c:spPr>
        </c:majorGridlines>
        <c:numFmt formatCode="_-* #,##0_-;\-* #,##0_-;_-* &quot;-&quot;??_-;_-@_-" sourceLinked="1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ru-RU"/>
          </a:p>
        </c:txPr>
        <c:crossAx val="152544768"/>
        <c:crossesAt val="41640"/>
        <c:crossBetween val="between"/>
      </c:valAx>
    </c:plotArea>
    <c:legend>
      <c:legendPos val="b"/>
      <c:overlay val="0"/>
      <c:txPr>
        <a:bodyPr/>
        <a:lstStyle/>
        <a:p>
          <a:pPr>
            <a:defRPr i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696281714785652"/>
          <c:y val="5.0925925925925923E-2"/>
          <c:w val="0.81766907261592303"/>
          <c:h val="0.764423665791776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'деп. база_по валютам'!$C$29</c:f>
              <c:strCache>
                <c:ptCount val="1"/>
                <c:pt idx="0">
                  <c:v>теңге</c:v>
                </c:pt>
              </c:strCache>
            </c:strRef>
          </c:tx>
          <c:spPr>
            <a:solidFill>
              <a:srgbClr val="4D30FA"/>
            </a:solidFill>
          </c:spPr>
          <c:invertIfNegative val="0"/>
          <c:dLbls>
            <c:dLbl>
              <c:idx val="0"/>
              <c:layout>
                <c:manualLayout>
                  <c:x val="-2.777777777777676E-3"/>
                  <c:y val="-1.3889253426655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5833333333333333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331146106736653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555555555555558E-3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7777777777777779E-3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'деп. база_по валютам'!$D$28:$I$28</c:f>
              <c:numCache>
                <c:formatCode>m/d/yyyy</c:formatCode>
                <c:ptCount val="6"/>
                <c:pt idx="0">
                  <c:v>41640</c:v>
                </c:pt>
                <c:pt idx="1">
                  <c:v>41730</c:v>
                </c:pt>
                <c:pt idx="2">
                  <c:v>41821</c:v>
                </c:pt>
                <c:pt idx="3">
                  <c:v>41913</c:v>
                </c:pt>
                <c:pt idx="4">
                  <c:v>42005</c:v>
                </c:pt>
                <c:pt idx="5">
                  <c:v>42095</c:v>
                </c:pt>
              </c:numCache>
            </c:numRef>
          </c:cat>
          <c:val>
            <c:numRef>
              <c:f>'деп. база_по валютам'!$D$29:$I$29</c:f>
              <c:numCache>
                <c:formatCode>0.0%</c:formatCode>
                <c:ptCount val="6"/>
                <c:pt idx="0">
                  <c:v>0.55965106458784886</c:v>
                </c:pt>
                <c:pt idx="1">
                  <c:v>0.45590562862900441</c:v>
                </c:pt>
                <c:pt idx="2">
                  <c:v>0.4643662625056274</c:v>
                </c:pt>
                <c:pt idx="3">
                  <c:v>0.44737733922399964</c:v>
                </c:pt>
                <c:pt idx="4">
                  <c:v>0.3251329534712471</c:v>
                </c:pt>
                <c:pt idx="5">
                  <c:v>0.32468477504951526</c:v>
                </c:pt>
              </c:numCache>
            </c:numRef>
          </c:val>
        </c:ser>
        <c:ser>
          <c:idx val="1"/>
          <c:order val="1"/>
          <c:tx>
            <c:strRef>
              <c:f>'деп. база_по валютам'!$C$30</c:f>
              <c:strCache>
                <c:ptCount val="1"/>
                <c:pt idx="0">
                  <c:v>шет. валютасы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'деп. база_по валютам'!$D$28:$I$28</c:f>
              <c:numCache>
                <c:formatCode>m/d/yyyy</c:formatCode>
                <c:ptCount val="6"/>
                <c:pt idx="0">
                  <c:v>41640</c:v>
                </c:pt>
                <c:pt idx="1">
                  <c:v>41730</c:v>
                </c:pt>
                <c:pt idx="2">
                  <c:v>41821</c:v>
                </c:pt>
                <c:pt idx="3">
                  <c:v>41913</c:v>
                </c:pt>
                <c:pt idx="4">
                  <c:v>42005</c:v>
                </c:pt>
                <c:pt idx="5">
                  <c:v>42095</c:v>
                </c:pt>
              </c:numCache>
            </c:numRef>
          </c:cat>
          <c:val>
            <c:numRef>
              <c:f>'деп. база_по валютам'!$D$30:$I$30</c:f>
              <c:numCache>
                <c:formatCode>0.0%</c:formatCode>
                <c:ptCount val="6"/>
                <c:pt idx="0">
                  <c:v>0.44034893541215114</c:v>
                </c:pt>
                <c:pt idx="1">
                  <c:v>0.54409437137099548</c:v>
                </c:pt>
                <c:pt idx="2">
                  <c:v>0.5356337374943726</c:v>
                </c:pt>
                <c:pt idx="3">
                  <c:v>0.55262266077600042</c:v>
                </c:pt>
                <c:pt idx="4">
                  <c:v>0.67486704652875285</c:v>
                </c:pt>
                <c:pt idx="5">
                  <c:v>0.67531522495048468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40293248"/>
        <c:axId val="140294784"/>
      </c:barChart>
      <c:dateAx>
        <c:axId val="140293248"/>
        <c:scaling>
          <c:orientation val="minMax"/>
        </c:scaling>
        <c:delete val="0"/>
        <c:axPos val="l"/>
        <c:numFmt formatCode="dd/mm/yy;@" sourceLinked="0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ru-RU"/>
          </a:p>
        </c:txPr>
        <c:crossAx val="140294784"/>
        <c:crosses val="autoZero"/>
        <c:auto val="1"/>
        <c:lblOffset val="100"/>
        <c:baseTimeUnit val="months"/>
        <c:majorUnit val="3"/>
        <c:majorTimeUnit val="months"/>
        <c:minorUnit val="3"/>
        <c:minorTimeUnit val="months"/>
      </c:dateAx>
      <c:valAx>
        <c:axId val="140294784"/>
        <c:scaling>
          <c:orientation val="minMax"/>
          <c:max val="0.70000000000000007"/>
        </c:scaling>
        <c:delete val="0"/>
        <c:axPos val="b"/>
        <c:majorGridlines>
          <c:spPr>
            <a:ln w="3175">
              <a:solidFill>
                <a:schemeClr val="bg1">
                  <a:lumMod val="75000"/>
                </a:schemeClr>
              </a:solidFill>
              <a:prstDash val="dash"/>
            </a:ln>
          </c:spPr>
        </c:majorGridlines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ru-RU"/>
          </a:p>
        </c:txPr>
        <c:crossAx val="140293248"/>
        <c:crossesAt val="41640"/>
        <c:crossBetween val="between"/>
      </c:valAx>
    </c:plotArea>
    <c:legend>
      <c:legendPos val="b"/>
      <c:overlay val="0"/>
      <c:txPr>
        <a:bodyPr/>
        <a:lstStyle/>
        <a:p>
          <a:pPr>
            <a:defRPr i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206115499180653"/>
          <c:y val="0"/>
          <c:w val="0.25767215870062832"/>
          <c:h val="1"/>
        </c:manualLayout>
      </c:layout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9"/>
          <c:dPt>
            <c:idx val="0"/>
            <c:bubble3D val="0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bubble3D val="0"/>
            <c:spPr>
              <a:solidFill>
                <a:schemeClr val="bg1">
                  <a:lumMod val="5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8.2580798745937836E-2"/>
                  <c:y val="0.13659663176990239"/>
                </c:manualLayout>
              </c:layout>
              <c:spPr/>
              <c:txPr>
                <a:bodyPr/>
                <a:lstStyle/>
                <a:p>
                  <a:pPr>
                    <a:defRPr sz="800" b="1" i="1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7909746754612716E-2"/>
                  <c:y val="-0.13061400266013193"/>
                </c:manualLayout>
              </c:layout>
              <c:spPr/>
              <c:txPr>
                <a:bodyPr/>
                <a:lstStyle/>
                <a:p>
                  <a:pPr>
                    <a:defRPr sz="800" b="1" i="1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87347650683135E-2"/>
                  <c:y val="1.1501585236367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800930365565994E-2"/>
                  <c:y val="-0.181999519804263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776379883801622E-2"/>
                  <c:y val="3.5388139165297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9961297151784788E-2"/>
                  <c:y val="0.11171105936515074"/>
                </c:manualLayout>
              </c:layout>
              <c:spPr/>
              <c:txPr>
                <a:bodyPr/>
                <a:lstStyle/>
                <a:p>
                  <a:pPr>
                    <a:defRPr sz="800" b="1" i="1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'свод 4,1 кв'!$B$62:$B$67</c:f>
              <c:strCache>
                <c:ptCount val="6"/>
                <c:pt idx="0">
                  <c:v>5 млн. теңгеге дейінгі мерзімді және шартты салымдар </c:v>
                </c:pt>
                <c:pt idx="1">
                  <c:v>5 млн.-нан 10 млн. теңгеге дейінгі мерзімді және шартты салымдар </c:v>
                </c:pt>
                <c:pt idx="2">
                  <c:v>10 млн.-нан 15 млн. теңгеге дейінгі мерзімді және шартты салымдар </c:v>
                </c:pt>
                <c:pt idx="3">
                  <c:v>15 млн. теңгеден  жоғары мерзімді және шартты салымдар</c:v>
                </c:pt>
                <c:pt idx="4">
                  <c:v>Талап етілгенге дейінгі салымдар</c:v>
                </c:pt>
                <c:pt idx="5">
                  <c:v>Ағымдағы және карт-шоттардағы жиынтық қалдықтары </c:v>
                </c:pt>
              </c:strCache>
            </c:strRef>
          </c:cat>
          <c:val>
            <c:numRef>
              <c:f>'свод 4,1 кв'!$C$62:$C$67</c:f>
              <c:numCache>
                <c:formatCode>0.0%</c:formatCode>
                <c:ptCount val="6"/>
                <c:pt idx="0">
                  <c:v>0.30347535363833156</c:v>
                </c:pt>
                <c:pt idx="1">
                  <c:v>9.1316541249394007E-2</c:v>
                </c:pt>
                <c:pt idx="2">
                  <c:v>3.5455105969435317E-2</c:v>
                </c:pt>
                <c:pt idx="3">
                  <c:v>0.46453731603045856</c:v>
                </c:pt>
                <c:pt idx="4">
                  <c:v>3.2197336114342602E-3</c:v>
                </c:pt>
                <c:pt idx="5">
                  <c:v>0.1019959495009463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5"/>
        <c:txPr>
          <a:bodyPr/>
          <a:lstStyle/>
          <a:p>
            <a:pPr>
              <a:defRPr sz="750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161567523956132"/>
          <c:y val="2.2867422307968782E-6"/>
          <c:w val="0.47675252935746415"/>
          <c:h val="0.99999771335363363"/>
        </c:manualLayout>
      </c:layout>
      <c:overlay val="0"/>
      <c:txPr>
        <a:bodyPr/>
        <a:lstStyle/>
        <a:p>
          <a:pPr>
            <a:defRPr sz="750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24FF-2BE7-478A-B4C7-98CFF740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Nazym</dc:creator>
  <cp:keywords/>
  <dc:description/>
  <cp:lastModifiedBy>Nazym</cp:lastModifiedBy>
  <cp:revision>32</cp:revision>
  <dcterms:created xsi:type="dcterms:W3CDTF">2015-05-25T09:19:00Z</dcterms:created>
  <dcterms:modified xsi:type="dcterms:W3CDTF">2015-06-02T06:11:00Z</dcterms:modified>
</cp:coreProperties>
</file>