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35" w:rsidRDefault="00DF5235" w:rsidP="00DF5235"/>
    <w:p w:rsidR="00DF5235" w:rsidRDefault="00DF5235" w:rsidP="00DF5235"/>
    <w:p w:rsidR="00DF5235" w:rsidRPr="00DF5235" w:rsidRDefault="00DF5235" w:rsidP="00DF5235">
      <w:pPr>
        <w:jc w:val="center"/>
        <w:outlineLvl w:val="0"/>
        <w:rPr>
          <w:rFonts w:ascii="Times New Roman" w:hAnsi="Times New Roman"/>
          <w:b/>
          <w:caps/>
          <w:spacing w:val="20"/>
          <w:sz w:val="24"/>
          <w:lang w:eastAsia="it-IT"/>
        </w:rPr>
      </w:pPr>
      <w:r w:rsidRPr="00DF5235">
        <w:rPr>
          <w:rFonts w:ascii="Times New Roman" w:hAnsi="Times New Roman"/>
          <w:b/>
          <w:caps/>
          <w:spacing w:val="20"/>
          <w:sz w:val="24"/>
          <w:lang w:eastAsia="it-IT"/>
        </w:rPr>
        <w:t>Казахстанский фонд гарантирования депозитов</w:t>
      </w:r>
    </w:p>
    <w:p w:rsidR="00DF5235" w:rsidRPr="00384FE3" w:rsidRDefault="00DF5235" w:rsidP="00DF5235">
      <w:pPr>
        <w:jc w:val="center"/>
        <w:outlineLvl w:val="0"/>
        <w:rPr>
          <w:rFonts w:ascii="Times New Roman" w:hAnsi="Times New Roman"/>
          <w:b/>
          <w:spacing w:val="20"/>
          <w:lang w:eastAsia="it-IT"/>
        </w:rPr>
      </w:pPr>
    </w:p>
    <w:p w:rsidR="00DF5235" w:rsidRPr="00DF5235" w:rsidRDefault="00DF5235" w:rsidP="00DF5235">
      <w:pPr>
        <w:tabs>
          <w:tab w:val="center" w:pos="4818"/>
        </w:tabs>
        <w:outlineLvl w:val="0"/>
        <w:rPr>
          <w:rFonts w:ascii="Times New Roman" w:hAnsi="Times New Roman"/>
          <w:b/>
          <w:spacing w:val="20"/>
          <w:lang w:eastAsia="it-IT"/>
        </w:rPr>
      </w:pPr>
      <w:r w:rsidRPr="00384FE3">
        <w:rPr>
          <w:rFonts w:ascii="Times New Roman" w:hAnsi="Times New Roman"/>
          <w:b/>
          <w:spacing w:val="20"/>
          <w:lang w:eastAsia="it-IT"/>
        </w:rPr>
        <w:tab/>
      </w:r>
      <w:r w:rsidRPr="00DF5235">
        <w:rPr>
          <w:rFonts w:ascii="Times New Roman" w:hAnsi="Times New Roman"/>
          <w:b/>
          <w:spacing w:val="20"/>
          <w:lang w:eastAsia="it-IT"/>
        </w:rPr>
        <w:t>Департамент методологии и расчета дифференцированных ставок взносов</w:t>
      </w:r>
    </w:p>
    <w:p w:rsidR="00DF5235" w:rsidRPr="00384FE3" w:rsidRDefault="00DF5235" w:rsidP="00DF5235">
      <w:pPr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eastAsia="it-IT"/>
        </w:rPr>
      </w:pPr>
    </w:p>
    <w:p w:rsidR="00DF5235" w:rsidRPr="00384FE3" w:rsidRDefault="00DF5235" w:rsidP="00DF5235">
      <w:pPr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eastAsia="it-IT"/>
        </w:rPr>
      </w:pPr>
    </w:p>
    <w:p w:rsidR="00DF5235" w:rsidRPr="00384FE3" w:rsidRDefault="00DF5235" w:rsidP="00DF5235">
      <w:pPr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eastAsia="it-IT"/>
        </w:rPr>
      </w:pPr>
    </w:p>
    <w:p w:rsidR="00DF5235" w:rsidRPr="00384FE3" w:rsidRDefault="00DF5235" w:rsidP="00DF5235">
      <w:pPr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eastAsia="it-IT"/>
        </w:rPr>
      </w:pPr>
    </w:p>
    <w:p w:rsidR="00DF5235" w:rsidRPr="00384FE3" w:rsidRDefault="00DF5235" w:rsidP="00DF5235">
      <w:pPr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eastAsia="it-IT"/>
        </w:rPr>
      </w:pPr>
    </w:p>
    <w:p w:rsidR="00DF5235" w:rsidRPr="00384FE3" w:rsidRDefault="00DF5235" w:rsidP="00DF5235">
      <w:pPr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eastAsia="it-IT"/>
        </w:rPr>
      </w:pPr>
    </w:p>
    <w:p w:rsidR="00DF5235" w:rsidRPr="00384FE3" w:rsidRDefault="00DF5235" w:rsidP="00DF5235">
      <w:pPr>
        <w:outlineLvl w:val="0"/>
        <w:rPr>
          <w:rFonts w:ascii="Times New Roman" w:hAnsi="Times New Roman"/>
          <w:b/>
          <w:spacing w:val="20"/>
          <w:sz w:val="28"/>
          <w:szCs w:val="28"/>
          <w:lang w:eastAsia="it-IT"/>
        </w:rPr>
      </w:pPr>
    </w:p>
    <w:p w:rsidR="00DF5235" w:rsidRPr="00384FE3" w:rsidRDefault="00DF5235" w:rsidP="00DF5235">
      <w:pPr>
        <w:jc w:val="center"/>
        <w:outlineLvl w:val="0"/>
        <w:rPr>
          <w:rFonts w:ascii="Times New Roman" w:hAnsi="Times New Roman"/>
          <w:b/>
          <w:spacing w:val="20"/>
          <w:sz w:val="28"/>
          <w:szCs w:val="28"/>
          <w:lang w:eastAsia="it-IT"/>
        </w:rPr>
      </w:pPr>
    </w:p>
    <w:p w:rsidR="00DF5235" w:rsidRPr="00384FE3" w:rsidRDefault="00DF5235" w:rsidP="00DF5235">
      <w:pPr>
        <w:spacing w:after="240"/>
        <w:jc w:val="center"/>
        <w:outlineLvl w:val="0"/>
        <w:rPr>
          <w:rFonts w:ascii="Times New Roman" w:hAnsi="Times New Roman"/>
          <w:b/>
          <w:spacing w:val="20"/>
          <w:sz w:val="30"/>
          <w:szCs w:val="30"/>
          <w:lang w:eastAsia="it-IT"/>
        </w:rPr>
      </w:pPr>
      <w:r w:rsidRPr="00384FE3">
        <w:rPr>
          <w:rFonts w:ascii="Times New Roman" w:hAnsi="Times New Roman"/>
          <w:b/>
          <w:spacing w:val="20"/>
          <w:sz w:val="30"/>
          <w:szCs w:val="30"/>
          <w:lang w:eastAsia="it-IT"/>
        </w:rPr>
        <w:t>КРАТКИЙ ИНФОРМАЦИОННЫЙ ОБЗОР</w:t>
      </w:r>
    </w:p>
    <w:p w:rsidR="00DF5235" w:rsidRPr="00384FE3" w:rsidRDefault="00DF5235" w:rsidP="00DF5235">
      <w:pPr>
        <w:tabs>
          <w:tab w:val="left" w:pos="3969"/>
        </w:tabs>
        <w:spacing w:after="120"/>
        <w:jc w:val="center"/>
        <w:outlineLvl w:val="0"/>
        <w:rPr>
          <w:rFonts w:ascii="Times New Roman" w:hAnsi="Times New Roman"/>
          <w:b/>
          <w:spacing w:val="20"/>
          <w:sz w:val="30"/>
          <w:szCs w:val="30"/>
          <w:lang w:eastAsia="it-IT"/>
        </w:rPr>
      </w:pPr>
      <w:r w:rsidRPr="00384FE3">
        <w:rPr>
          <w:rFonts w:ascii="Times New Roman" w:hAnsi="Times New Roman"/>
          <w:b/>
          <w:spacing w:val="20"/>
          <w:sz w:val="30"/>
          <w:szCs w:val="30"/>
          <w:lang w:eastAsia="it-IT"/>
        </w:rPr>
        <w:t>РЫНКА ДЕПОЗИТОВ ФИЗИЧЕСКИХ ЛИЦ</w:t>
      </w:r>
    </w:p>
    <w:p w:rsidR="00DF5235" w:rsidRPr="00384FE3" w:rsidRDefault="00DF5235" w:rsidP="00DF5235">
      <w:pPr>
        <w:spacing w:after="120"/>
        <w:jc w:val="center"/>
        <w:outlineLvl w:val="0"/>
        <w:rPr>
          <w:rFonts w:ascii="Times New Roman" w:hAnsi="Times New Roman"/>
          <w:b/>
          <w:i/>
          <w:spacing w:val="20"/>
          <w:sz w:val="32"/>
          <w:szCs w:val="32"/>
          <w:lang w:eastAsia="it-IT"/>
        </w:rPr>
      </w:pPr>
      <w:r w:rsidRPr="00384FE3">
        <w:rPr>
          <w:rFonts w:ascii="Times New Roman" w:hAnsi="Times New Roman"/>
          <w:b/>
          <w:i/>
          <w:spacing w:val="20"/>
          <w:sz w:val="30"/>
          <w:szCs w:val="30"/>
          <w:lang w:eastAsia="it-IT"/>
        </w:rPr>
        <w:t>За 1-ый квартал 201</w:t>
      </w:r>
      <w:r>
        <w:rPr>
          <w:rFonts w:ascii="Times New Roman" w:hAnsi="Times New Roman"/>
          <w:b/>
          <w:i/>
          <w:spacing w:val="20"/>
          <w:sz w:val="30"/>
          <w:szCs w:val="30"/>
          <w:lang w:eastAsia="it-IT"/>
        </w:rPr>
        <w:t>5</w:t>
      </w:r>
      <w:r w:rsidRPr="00384FE3">
        <w:rPr>
          <w:rFonts w:ascii="Times New Roman" w:hAnsi="Times New Roman"/>
          <w:b/>
          <w:i/>
          <w:spacing w:val="20"/>
          <w:sz w:val="30"/>
          <w:szCs w:val="30"/>
          <w:lang w:eastAsia="it-IT"/>
        </w:rPr>
        <w:t xml:space="preserve"> г.</w:t>
      </w:r>
    </w:p>
    <w:p w:rsidR="001B1FD7" w:rsidRDefault="001B1FD7" w:rsidP="001B1FD7"/>
    <w:p w:rsidR="001B1FD7" w:rsidRDefault="001B1FD7" w:rsidP="001B1FD7"/>
    <w:p w:rsidR="001B1FD7" w:rsidRDefault="001B1FD7" w:rsidP="001B1FD7"/>
    <w:p w:rsidR="00DF5235" w:rsidRPr="001B1FD7" w:rsidRDefault="001B1FD7" w:rsidP="00DF523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1FD7">
        <w:rPr>
          <w:rFonts w:ascii="Times New Roman" w:eastAsia="Times New Roman" w:hAnsi="Times New Roman"/>
          <w:b/>
          <w:spacing w:val="20"/>
          <w:sz w:val="24"/>
          <w:szCs w:val="24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1B1FD7" w:rsidRPr="00DF5235" w:rsidRDefault="00DF5235" w:rsidP="00DF5235">
      <w:pPr>
        <w:jc w:val="center"/>
        <w:rPr>
          <w:rFonts w:ascii="Times New Roman" w:hAnsi="Times New Roman"/>
          <w:b/>
          <w:caps/>
          <w:spacing w:val="20"/>
          <w:lang w:eastAsia="it-IT"/>
        </w:rPr>
      </w:pPr>
      <w:r w:rsidRPr="00A752CD">
        <w:rPr>
          <w:rFonts w:ascii="Times New Roman" w:eastAsia="Times New Roman" w:hAnsi="Times New Roman" w:cs="Garamond"/>
          <w:b/>
          <w:sz w:val="24"/>
          <w:szCs w:val="24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Обзор тенденций рынка вкладов физических лиц</w:t>
      </w:r>
    </w:p>
    <w:p w:rsidR="001B1FD7" w:rsidRDefault="001B1FD7" w:rsidP="00C34211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67F7B">
        <w:rPr>
          <w:rFonts w:ascii="Times New Roman" w:eastAsia="Times New Roman" w:hAnsi="Times New Roman"/>
          <w:sz w:val="24"/>
          <w:szCs w:val="24"/>
          <w:lang w:eastAsia="it-IT"/>
        </w:rPr>
        <w:t xml:space="preserve">По состоянию на 1 апреля 2015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г. </w:t>
      </w:r>
      <w:r w:rsidRPr="00867F7B">
        <w:rPr>
          <w:rFonts w:ascii="Times New Roman" w:eastAsia="Times New Roman" w:hAnsi="Times New Roman"/>
          <w:sz w:val="24"/>
          <w:szCs w:val="24"/>
          <w:lang w:eastAsia="it-IT"/>
        </w:rPr>
        <w:t>депозиты населения в банках-участниках СГД составили Т</w:t>
      </w:r>
      <w:proofErr w:type="gramStart"/>
      <w:r w:rsidRPr="00867F7B">
        <w:rPr>
          <w:rFonts w:ascii="Times New Roman" w:eastAsia="Times New Roman" w:hAnsi="Times New Roman"/>
          <w:sz w:val="24"/>
          <w:szCs w:val="24"/>
          <w:lang w:eastAsia="it-IT"/>
        </w:rPr>
        <w:t>4</w:t>
      </w:r>
      <w:proofErr w:type="gramEnd"/>
      <w:r w:rsidRPr="00867F7B">
        <w:rPr>
          <w:rFonts w:ascii="Times New Roman" w:eastAsia="Times New Roman" w:hAnsi="Times New Roman"/>
          <w:sz w:val="24"/>
          <w:szCs w:val="24"/>
          <w:lang w:eastAsia="it-IT"/>
        </w:rPr>
        <w:t>,3 трлн., при этом депозитн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ая</w:t>
      </w:r>
      <w:r w:rsidRPr="00867F7B">
        <w:rPr>
          <w:rFonts w:ascii="Times New Roman" w:eastAsia="Times New Roman" w:hAnsi="Times New Roman"/>
          <w:sz w:val="24"/>
          <w:szCs w:val="24"/>
          <w:lang w:eastAsia="it-IT"/>
        </w:rPr>
        <w:t xml:space="preserve"> баз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а</w:t>
      </w:r>
      <w:r w:rsidRPr="00867F7B">
        <w:rPr>
          <w:rFonts w:ascii="Times New Roman" w:eastAsia="Times New Roman" w:hAnsi="Times New Roman"/>
          <w:sz w:val="24"/>
          <w:szCs w:val="24"/>
          <w:lang w:eastAsia="it-IT"/>
        </w:rPr>
        <w:t xml:space="preserve"> за 1-ый квартал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текущего года сократилась на </w:t>
      </w:r>
      <w:r w:rsidRPr="00867F7B">
        <w:rPr>
          <w:rFonts w:ascii="Times New Roman" w:eastAsia="Times New Roman" w:hAnsi="Times New Roman"/>
          <w:sz w:val="24"/>
          <w:szCs w:val="24"/>
          <w:lang w:eastAsia="it-IT"/>
        </w:rPr>
        <w:t>Т140,1 млрд., или 3,2%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34211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1B1FD7" w:rsidRDefault="001B1FD7" w:rsidP="001B1FD7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В пятерку лидеров по привлечению депозитов населения вошли: </w:t>
      </w:r>
      <w:r w:rsidRPr="00F05A7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  <w:t>Forte</w:t>
      </w:r>
      <w:r w:rsidRPr="0028277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F05A7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  <w:t>Bank</w:t>
      </w:r>
      <w:r w:rsidRPr="0028277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295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95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ростом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депозитов в размере </w:t>
      </w:r>
      <w:r w:rsidRPr="00282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Т70,4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млрд., принявший на себя обязательства </w:t>
      </w:r>
      <w:r w:rsidRPr="00A24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присоединившихся </w:t>
      </w:r>
      <w:r w:rsidRPr="00A24A5C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ABC</w:t>
      </w:r>
      <w:r w:rsidRPr="00A24A5C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A24A5C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Bank</w:t>
      </w:r>
      <w:r w:rsidRPr="00A24A5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A24A5C">
        <w:rPr>
          <w:rFonts w:ascii="Times New Roman" w:hAnsi="Times New Roman"/>
          <w:b/>
          <w:i/>
          <w:color w:val="000000"/>
          <w:sz w:val="24"/>
          <w:szCs w:val="24"/>
        </w:rPr>
        <w:t>Тем</w:t>
      </w:r>
      <w:proofErr w:type="spellStart"/>
      <w:r w:rsidRPr="00A24A5C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i</w:t>
      </w:r>
      <w:r w:rsidRPr="00A24A5C">
        <w:rPr>
          <w:rFonts w:ascii="Times New Roman" w:hAnsi="Times New Roman"/>
          <w:b/>
          <w:i/>
          <w:color w:val="000000"/>
          <w:sz w:val="24"/>
          <w:szCs w:val="24"/>
        </w:rPr>
        <w:t>рбанка</w:t>
      </w:r>
      <w:proofErr w:type="spellEnd"/>
      <w:r w:rsidRPr="00A24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24A5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ЖССБ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A24A5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</w:t>
      </w:r>
      <w:r w:rsidRPr="00A24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Т20,3 млрд., </w:t>
      </w:r>
      <w:proofErr w:type="spellStart"/>
      <w:r w:rsidRPr="00A24A5C">
        <w:rPr>
          <w:rFonts w:ascii="Times New Roman" w:hAnsi="Times New Roman"/>
          <w:b/>
          <w:i/>
          <w:color w:val="000000"/>
          <w:sz w:val="24"/>
          <w:szCs w:val="24"/>
        </w:rPr>
        <w:t>АТФБанк</w:t>
      </w:r>
      <w:proofErr w:type="spellEnd"/>
      <w:r w:rsidRPr="00A24A5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+</w:t>
      </w:r>
      <w:r w:rsidRPr="00A24A5C">
        <w:rPr>
          <w:rFonts w:ascii="Times New Roman" w:hAnsi="Times New Roman"/>
          <w:color w:val="000000"/>
          <w:sz w:val="24"/>
          <w:szCs w:val="24"/>
        </w:rPr>
        <w:t xml:space="preserve">Т5,5 млрд., </w:t>
      </w:r>
      <w:r w:rsidRPr="00A24A5C">
        <w:rPr>
          <w:rFonts w:ascii="Times New Roman" w:hAnsi="Times New Roman"/>
          <w:b/>
          <w:i/>
          <w:color w:val="000000"/>
          <w:sz w:val="24"/>
          <w:szCs w:val="24"/>
        </w:rPr>
        <w:t>Банк Астаны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+</w:t>
      </w:r>
      <w:r w:rsidRPr="00A24A5C">
        <w:rPr>
          <w:rFonts w:ascii="Times New Roman" w:hAnsi="Times New Roman"/>
          <w:color w:val="000000"/>
          <w:sz w:val="24"/>
          <w:szCs w:val="24"/>
        </w:rPr>
        <w:t xml:space="preserve">Т3,6 млрд., </w:t>
      </w:r>
      <w:proofErr w:type="spellStart"/>
      <w:r w:rsidRPr="00A24A5C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BankRBK</w:t>
      </w:r>
      <w:proofErr w:type="spellEnd"/>
      <w:r w:rsidRPr="00A24A5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+</w:t>
      </w:r>
      <w:r w:rsidRPr="00A24A5C">
        <w:rPr>
          <w:rFonts w:ascii="Times New Roman" w:hAnsi="Times New Roman"/>
          <w:color w:val="000000"/>
          <w:sz w:val="24"/>
          <w:szCs w:val="24"/>
        </w:rPr>
        <w:t>Т0,9 млрд.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4A5C">
        <w:rPr>
          <w:rFonts w:ascii="Times New Roman" w:hAnsi="Times New Roman"/>
          <w:color w:val="000000"/>
          <w:sz w:val="24"/>
          <w:szCs w:val="24"/>
        </w:rPr>
        <w:t>Более чем у половины банков в течение отчетного периода наблюдался отток, однако наиболее крупное изъятие депозитов произошло в</w:t>
      </w:r>
      <w:r w:rsidRPr="00A24A5C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 </w:t>
      </w:r>
      <w:proofErr w:type="spellStart"/>
      <w:r w:rsidRPr="00A24A5C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>Халык</w:t>
      </w:r>
      <w:proofErr w:type="spellEnd"/>
      <w:r w:rsidRPr="00A24A5C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 Банке</w:t>
      </w:r>
      <w:r w:rsidRPr="00A24A5C">
        <w:rPr>
          <w:rFonts w:ascii="Times New Roman" w:eastAsia="Times New Roman" w:hAnsi="Times New Roman"/>
          <w:sz w:val="24"/>
          <w:szCs w:val="24"/>
          <w:lang w:eastAsia="it-IT"/>
        </w:rPr>
        <w:t xml:space="preserve"> на </w:t>
      </w:r>
      <w:r w:rsidRPr="00A24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Т58,6 млрд., в</w:t>
      </w:r>
      <w:r w:rsidRPr="00A24A5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БТА Банке</w:t>
      </w:r>
      <w:r w:rsidRPr="00A24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Т18,1 млрд., в </w:t>
      </w:r>
      <w:r w:rsidRPr="00A24A5C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>ККБ</w:t>
      </w:r>
      <w:r w:rsidRPr="00A24A5C">
        <w:rPr>
          <w:rFonts w:ascii="Times New Roman" w:eastAsia="Times New Roman" w:hAnsi="Times New Roman"/>
          <w:sz w:val="24"/>
          <w:szCs w:val="24"/>
          <w:lang w:eastAsia="it-IT"/>
        </w:rPr>
        <w:t xml:space="preserve"> на </w:t>
      </w:r>
      <w:r w:rsidRPr="00A24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Т33,1 млрд., в </w:t>
      </w:r>
      <w:proofErr w:type="spellStart"/>
      <w:r w:rsidRPr="00A24A5C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>Цесна</w:t>
      </w:r>
      <w:proofErr w:type="spellEnd"/>
      <w:r w:rsidRPr="00A24A5C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 Банке </w:t>
      </w:r>
      <w:r w:rsidRPr="00A24A5C">
        <w:rPr>
          <w:rFonts w:ascii="Times New Roman" w:eastAsia="Times New Roman" w:hAnsi="Times New Roman"/>
          <w:sz w:val="24"/>
          <w:szCs w:val="24"/>
          <w:lang w:eastAsia="it-IT"/>
        </w:rPr>
        <w:t xml:space="preserve">на </w:t>
      </w:r>
      <w:r w:rsidRPr="00A24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Т14,8 млрд., в </w:t>
      </w:r>
      <w:r w:rsidRPr="00A24A5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БЦК</w:t>
      </w:r>
      <w:r w:rsidRPr="00A24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</w:t>
      </w:r>
      <w:r w:rsidRPr="00A24A5C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A24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gramStart"/>
      <w:r w:rsidRPr="00A24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proofErr w:type="gramEnd"/>
      <w:r w:rsidRPr="00A24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,8 млрд.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24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Общий приток вкладов населения составил Т103,1 млрд., а отток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A24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A24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Т243,2 млрд.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</w:t>
      </w:r>
      <w:proofErr w:type="gramEnd"/>
    </w:p>
    <w:p w:rsidR="001B1FD7" w:rsidRDefault="001B1FD7" w:rsidP="001B1FD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рассматривать портфель депозитов в разрезе валют, то следует отметить, что вклады в иностранной валюте остаются более предпочтительным для физических лиц финансовым инструментом, на которые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приходится 67,5% портфеля депозитов, и оставшаяся часть – на депозиты в национальной валюте. При этом в течение периода сокращение депозитов в тенге составило Т47,5 млрд., или 3,3%, в иностранной валюте - Т92,6 млрд., или (-3,1%). </w:t>
      </w:r>
    </w:p>
    <w:p w:rsidR="001B1FD7" w:rsidRDefault="001B1FD7" w:rsidP="001B1FD7">
      <w:pPr>
        <w:spacing w:after="0"/>
        <w:ind w:firstLine="567"/>
        <w:jc w:val="both"/>
        <w:rPr>
          <w:rFonts w:ascii="Times New Roman" w:eastAsia="Times New Roman" w:hAnsi="Times New Roman"/>
          <w:b/>
          <w:i/>
          <w:noProof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1B1FD7" w:rsidRPr="00EC5C09" w:rsidRDefault="001B1FD7" w:rsidP="001B1FD7">
      <w:pPr>
        <w:pStyle w:val="afc"/>
        <w:spacing w:line="276" w:lineRule="auto"/>
        <w:rPr>
          <w:rFonts w:ascii="Times New Roman" w:eastAsia="Times New Roman" w:hAnsi="Times New Roman"/>
          <w:b/>
          <w:i/>
          <w:noProof/>
          <w:sz w:val="18"/>
          <w:szCs w:val="18"/>
          <w:lang w:eastAsia="ru-RU"/>
        </w:rPr>
      </w:pPr>
      <w:r w:rsidRPr="00EC5C09">
        <w:rPr>
          <w:rFonts w:ascii="Times New Roman" w:eastAsia="Times New Roman" w:hAnsi="Times New Roman"/>
          <w:b/>
          <w:i/>
          <w:noProof/>
          <w:sz w:val="18"/>
          <w:szCs w:val="18"/>
          <w:lang w:eastAsia="ru-RU"/>
        </w:rPr>
        <w:t xml:space="preserve">Диаграмма </w:t>
      </w:r>
      <w:r>
        <w:rPr>
          <w:rFonts w:ascii="Times New Roman" w:eastAsia="Times New Roman" w:hAnsi="Times New Roman"/>
          <w:b/>
          <w:i/>
          <w:noProof/>
          <w:sz w:val="18"/>
          <w:szCs w:val="18"/>
          <w:lang w:eastAsia="ru-RU"/>
        </w:rPr>
        <w:t>1</w:t>
      </w:r>
      <w:r w:rsidRPr="00EC5C09">
        <w:rPr>
          <w:rFonts w:ascii="Times New Roman" w:eastAsia="Times New Roman" w:hAnsi="Times New Roman"/>
          <w:b/>
          <w:i/>
          <w:noProof/>
          <w:sz w:val="18"/>
          <w:szCs w:val="18"/>
          <w:lang w:eastAsia="ru-RU"/>
        </w:rPr>
        <w:t>. Динамика депозитной базы в разрезе валют (в млрд. тенге и в %)</w:t>
      </w:r>
    </w:p>
    <w:p w:rsidR="001B1FD7" w:rsidRDefault="001B1FD7" w:rsidP="001B1FD7">
      <w:pPr>
        <w:pStyle w:val="afc"/>
        <w:spacing w:line="276" w:lineRule="auto"/>
        <w:rPr>
          <w:rFonts w:ascii="Times New Roman" w:eastAsia="Times New Roman" w:hAnsi="Times New Roman"/>
          <w:b/>
          <w:i/>
          <w:noProof/>
          <w:sz w:val="16"/>
          <w:szCs w:val="16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925"/>
      </w:tblGrid>
      <w:tr w:rsidR="001B1FD7" w:rsidRPr="008B1AFD" w:rsidTr="001539CD">
        <w:tc>
          <w:tcPr>
            <w:tcW w:w="5070" w:type="dxa"/>
            <w:shd w:val="clear" w:color="auto" w:fill="auto"/>
          </w:tcPr>
          <w:p w:rsidR="001B1FD7" w:rsidRPr="008B1AFD" w:rsidRDefault="001B1FD7" w:rsidP="001539CD">
            <w:pPr>
              <w:pStyle w:val="afc"/>
              <w:spacing w:line="276" w:lineRule="auto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39440" cy="1965960"/>
                  <wp:effectExtent l="0" t="0" r="3810" b="0"/>
                  <wp:docPr id="5" name="Диаграмма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925" w:type="dxa"/>
            <w:shd w:val="clear" w:color="auto" w:fill="auto"/>
          </w:tcPr>
          <w:p w:rsidR="001B1FD7" w:rsidRPr="008B1AFD" w:rsidRDefault="001B1FD7" w:rsidP="001539CD">
            <w:pPr>
              <w:pStyle w:val="afc"/>
              <w:spacing w:line="276" w:lineRule="auto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32760" cy="1965960"/>
                  <wp:effectExtent l="0" t="0" r="0" b="0"/>
                  <wp:docPr id="4" name="Диаграмма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1B1FD7" w:rsidRPr="00A779D7" w:rsidRDefault="001B1FD7" w:rsidP="001B1FD7">
      <w:pPr>
        <w:pStyle w:val="afc"/>
        <w:spacing w:line="276" w:lineRule="auto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:rsidR="001B1FD7" w:rsidRDefault="001B1FD7" w:rsidP="00C34211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F0AEE">
        <w:rPr>
          <w:rFonts w:ascii="Times New Roman" w:eastAsia="Times New Roman" w:hAnsi="Times New Roman"/>
          <w:sz w:val="24"/>
          <w:szCs w:val="24"/>
          <w:lang w:eastAsia="ru-RU"/>
        </w:rPr>
        <w:t xml:space="preserve">Совокупный депозитный портфель банков-участников состоит на 89,5%, </w:t>
      </w:r>
      <w:r w:rsidRPr="00CF0A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Т3,8 трлн. из </w:t>
      </w:r>
      <w:r w:rsidRPr="00CF0AEE">
        <w:rPr>
          <w:rFonts w:ascii="Times New Roman" w:eastAsia="Times New Roman" w:hAnsi="Times New Roman"/>
          <w:i/>
          <w:sz w:val="24"/>
          <w:szCs w:val="24"/>
          <w:lang w:eastAsia="ru-RU"/>
        </w:rPr>
        <w:t>срочных и условных вкладов,</w:t>
      </w:r>
      <w:r w:rsidRPr="00CF0AEE">
        <w:rPr>
          <w:rFonts w:ascii="Times New Roman" w:eastAsia="Times New Roman" w:hAnsi="Times New Roman"/>
          <w:sz w:val="24"/>
          <w:szCs w:val="24"/>
          <w:lang w:eastAsia="ru-RU"/>
        </w:rPr>
        <w:t xml:space="preserve"> сократившиеся </w:t>
      </w:r>
      <w:r w:rsidRPr="00CF0A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квартал на Т113,3 млрд., или на 2,9%,</w:t>
      </w:r>
      <w:r w:rsidRPr="00CF0A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F0AEE">
        <w:rPr>
          <w:rFonts w:ascii="Times New Roman" w:eastAsia="Times New Roman" w:hAnsi="Times New Roman"/>
          <w:i/>
          <w:sz w:val="24"/>
          <w:szCs w:val="24"/>
          <w:lang w:eastAsia="ru-RU"/>
        </w:rPr>
        <w:t>остатков на текущих и карт-счетах</w:t>
      </w:r>
      <w:r w:rsidRPr="00CF0AEE">
        <w:rPr>
          <w:rFonts w:ascii="Times New Roman" w:eastAsia="Times New Roman" w:hAnsi="Times New Roman"/>
          <w:sz w:val="24"/>
          <w:szCs w:val="24"/>
          <w:lang w:eastAsia="ru-RU"/>
        </w:rPr>
        <w:t xml:space="preserve"> с долей 10,2% (</w:t>
      </w:r>
      <w:r w:rsidRPr="00CF0A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Т438,3 млрд.), объем которых уменьшился на Т21,1 млрд., или на 4,6%, </w:t>
      </w:r>
      <w:r w:rsidRPr="00CF0AEE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CF0AEE">
        <w:rPr>
          <w:rFonts w:ascii="Times New Roman" w:eastAsia="Times New Roman" w:hAnsi="Times New Roman"/>
          <w:i/>
          <w:sz w:val="24"/>
          <w:szCs w:val="24"/>
          <w:lang w:eastAsia="ru-RU"/>
        </w:rPr>
        <w:t>вкладов до востребования</w:t>
      </w:r>
      <w:r w:rsidRPr="00CF0AEE">
        <w:rPr>
          <w:rFonts w:ascii="Times New Roman" w:eastAsia="Times New Roman" w:hAnsi="Times New Roman"/>
          <w:sz w:val="24"/>
          <w:szCs w:val="24"/>
          <w:lang w:eastAsia="ru-RU"/>
        </w:rPr>
        <w:t xml:space="preserve"> с долей 0,3% (</w:t>
      </w:r>
      <w:r w:rsidRPr="00CF0A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Т13,8 млрд.), снизившихся за период</w:t>
      </w:r>
      <w:proofErr w:type="gramEnd"/>
      <w:r w:rsidRPr="00CF0A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Т5,7 млрд., или на 29,2%.</w:t>
      </w:r>
      <w:r w:rsidRPr="003119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34211" w:rsidRDefault="00C34211" w:rsidP="001B1FD7">
      <w:pPr>
        <w:pStyle w:val="afc"/>
        <w:spacing w:line="276" w:lineRule="auto"/>
        <w:rPr>
          <w:rFonts w:ascii="Times New Roman" w:hAnsi="Times New Roman"/>
          <w:b/>
          <w:i/>
          <w:noProof/>
          <w:sz w:val="18"/>
          <w:szCs w:val="18"/>
          <w:lang w:eastAsia="ru-RU"/>
        </w:rPr>
      </w:pPr>
    </w:p>
    <w:p w:rsidR="001B1FD7" w:rsidRPr="00EC5C09" w:rsidRDefault="001B1FD7" w:rsidP="00C34211">
      <w:pPr>
        <w:pStyle w:val="afc"/>
        <w:spacing w:line="276" w:lineRule="auto"/>
        <w:rPr>
          <w:rFonts w:ascii="Times New Roman" w:hAnsi="Times New Roman"/>
          <w:b/>
          <w:i/>
          <w:noProof/>
          <w:sz w:val="18"/>
          <w:szCs w:val="18"/>
          <w:lang w:eastAsia="ru-RU"/>
        </w:rPr>
      </w:pPr>
      <w:r w:rsidRPr="00EC5C09">
        <w:rPr>
          <w:rFonts w:ascii="Times New Roman" w:hAnsi="Times New Roman"/>
          <w:b/>
          <w:i/>
          <w:noProof/>
          <w:sz w:val="18"/>
          <w:szCs w:val="18"/>
          <w:lang w:eastAsia="ru-RU"/>
        </w:rPr>
        <w:t xml:space="preserve">Диаграмма </w:t>
      </w:r>
      <w:r>
        <w:rPr>
          <w:rFonts w:ascii="Times New Roman" w:hAnsi="Times New Roman"/>
          <w:b/>
          <w:i/>
          <w:noProof/>
          <w:sz w:val="18"/>
          <w:szCs w:val="18"/>
          <w:lang w:eastAsia="ru-RU"/>
        </w:rPr>
        <w:t>2</w:t>
      </w:r>
      <w:r w:rsidRPr="00EC5C09">
        <w:rPr>
          <w:rFonts w:ascii="Times New Roman" w:hAnsi="Times New Roman"/>
          <w:b/>
          <w:i/>
          <w:noProof/>
          <w:sz w:val="18"/>
          <w:szCs w:val="18"/>
          <w:lang w:eastAsia="ru-RU"/>
        </w:rPr>
        <w:t>.</w:t>
      </w:r>
      <w:r w:rsidRPr="00EC5C09">
        <w:rPr>
          <w:rFonts w:ascii="Times New Roman" w:eastAsia="Times New Roman" w:hAnsi="Times New Roman"/>
          <w:sz w:val="18"/>
          <w:szCs w:val="18"/>
          <w:lang w:eastAsia="it-IT"/>
        </w:rPr>
        <w:t xml:space="preserve"> </w:t>
      </w:r>
      <w:r w:rsidRPr="00EC5C09">
        <w:rPr>
          <w:rFonts w:ascii="Times New Roman" w:hAnsi="Times New Roman"/>
          <w:b/>
          <w:i/>
          <w:noProof/>
          <w:sz w:val="18"/>
          <w:szCs w:val="18"/>
          <w:lang w:eastAsia="ru-RU"/>
        </w:rPr>
        <w:t>Структура розничных депозитов по основным категориям (</w:t>
      </w:r>
      <w:r>
        <w:rPr>
          <w:rFonts w:ascii="Times New Roman" w:hAnsi="Times New Roman"/>
          <w:b/>
          <w:i/>
          <w:noProof/>
          <w:sz w:val="18"/>
          <w:szCs w:val="18"/>
          <w:lang w:eastAsia="ru-RU"/>
        </w:rPr>
        <w:t>в %</w:t>
      </w:r>
      <w:r w:rsidRPr="00EC5C09">
        <w:rPr>
          <w:rFonts w:ascii="Times New Roman" w:hAnsi="Times New Roman"/>
          <w:b/>
          <w:i/>
          <w:noProof/>
          <w:sz w:val="18"/>
          <w:szCs w:val="18"/>
          <w:lang w:eastAsia="ru-RU"/>
        </w:rPr>
        <w:t>)</w:t>
      </w:r>
    </w:p>
    <w:p w:rsidR="001B1FD7" w:rsidRDefault="00C34211" w:rsidP="00C34211">
      <w:pPr>
        <w:spacing w:after="0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A56AB3" wp14:editId="25FB34DD">
            <wp:extent cx="4206240" cy="1965960"/>
            <wp:effectExtent l="0" t="0" r="381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B1FD7" w:rsidRDefault="001B1FD7" w:rsidP="004A175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B1FD7" w:rsidRDefault="001B1FD7" w:rsidP="001B1FD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63CA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По</w:t>
      </w:r>
      <w:r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 с</w:t>
      </w:r>
      <w:r w:rsidRPr="00F563C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рочны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</w:t>
      </w:r>
      <w:r w:rsidRPr="00F563C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и условны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</w:t>
      </w:r>
      <w:r w:rsidRPr="00F563C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вклад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ам</w:t>
      </w:r>
      <w:r w:rsidRPr="00311910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</w:t>
      </w:r>
      <w:r w:rsidRPr="00F563C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до Т5 млн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., занимающим 30</w:t>
      </w:r>
      <w:r w:rsidRPr="0031191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11910">
        <w:rPr>
          <w:rFonts w:ascii="Times New Roman" w:eastAsia="Times New Roman" w:hAnsi="Times New Roman"/>
          <w:sz w:val="24"/>
          <w:szCs w:val="24"/>
          <w:lang w:eastAsia="ru-RU"/>
        </w:rPr>
        <w:t>% (или Т</w:t>
      </w:r>
      <w:proofErr w:type="gramStart"/>
      <w:r w:rsidRPr="0031191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311910">
        <w:rPr>
          <w:rFonts w:ascii="Times New Roman" w:eastAsia="Times New Roman" w:hAnsi="Times New Roman"/>
          <w:sz w:val="24"/>
          <w:szCs w:val="24"/>
          <w:lang w:eastAsia="ru-RU"/>
        </w:rPr>
        <w:t xml:space="preserve">,3 трлн.) портфеля депозитов банков-участников,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произошло отрицательное изменение за квартал, составившее Т3,6 млрд. </w:t>
      </w:r>
      <w:r w:rsidRPr="003119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то время как</w:t>
      </w:r>
      <w:r w:rsidRPr="00311910">
        <w:rPr>
          <w:rFonts w:ascii="Times New Roman" w:eastAsia="Times New Roman" w:hAnsi="Times New Roman"/>
          <w:sz w:val="24"/>
          <w:szCs w:val="24"/>
          <w:lang w:eastAsia="ru-RU"/>
        </w:rPr>
        <w:t xml:space="preserve"> срочны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11910">
        <w:rPr>
          <w:rFonts w:ascii="Times New Roman" w:eastAsia="Times New Roman" w:hAnsi="Times New Roman"/>
          <w:sz w:val="24"/>
          <w:szCs w:val="24"/>
          <w:lang w:eastAsia="ru-RU"/>
        </w:rPr>
        <w:t xml:space="preserve"> и условны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11910">
        <w:rPr>
          <w:rFonts w:ascii="Times New Roman" w:eastAsia="Times New Roman" w:hAnsi="Times New Roman"/>
          <w:sz w:val="24"/>
          <w:szCs w:val="24"/>
          <w:lang w:eastAsia="ru-RU"/>
        </w:rPr>
        <w:t xml:space="preserve"> вклад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3119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63C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от Т5 до Т10 млн</w:t>
      </w:r>
      <w:r w:rsidRPr="00F563C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рассматриваемый период увеличились на </w:t>
      </w:r>
      <w:r w:rsidRPr="00311910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14,0</w:t>
      </w:r>
      <w:r w:rsidRPr="00311910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 и составил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1910">
        <w:rPr>
          <w:rFonts w:ascii="Times New Roman" w:eastAsia="Times New Roman" w:hAnsi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392,4 </w:t>
      </w:r>
      <w:r w:rsidRPr="00311910">
        <w:rPr>
          <w:rFonts w:ascii="Times New Roman" w:eastAsia="Times New Roman" w:hAnsi="Times New Roman"/>
          <w:sz w:val="24"/>
          <w:szCs w:val="24"/>
          <w:lang w:eastAsia="ru-RU"/>
        </w:rPr>
        <w:t>млрд.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9,1</w:t>
      </w:r>
      <w:r w:rsidRPr="00311910">
        <w:rPr>
          <w:rFonts w:ascii="Times New Roman" w:eastAsia="Times New Roman" w:hAnsi="Times New Roman"/>
          <w:sz w:val="24"/>
          <w:szCs w:val="24"/>
          <w:lang w:eastAsia="ru-RU"/>
        </w:rPr>
        <w:t>% от совокупного объема депозитов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1191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данной категории депозитов увеличение преимущественно наблюдалось по вкладам в иностранной валюте (+Т13,1 млрд.). </w:t>
      </w:r>
    </w:p>
    <w:p w:rsidR="001B1FD7" w:rsidRDefault="001B1FD7" w:rsidP="001B1FD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Срочные и условные вклады </w:t>
      </w:r>
      <w:r w:rsidRPr="001644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от Т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10 </w:t>
      </w:r>
      <w:r w:rsidRPr="001644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до Т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15</w:t>
      </w:r>
      <w:r w:rsidRPr="001644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млн.</w:t>
      </w:r>
      <w:r w:rsidRPr="00A316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составили Т152,4 млрд., или 3,5% от общей депозитной базы физических лиц. Увеличение этих вкладов является незначительным, которое составило всего 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,6 млрд. и произошло за счет роста депозитов в национальной валюте.</w:t>
      </w:r>
    </w:p>
    <w:p w:rsidR="001B1FD7" w:rsidRDefault="001B1FD7" w:rsidP="001B1FD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46,5% всей депозитной базы физических лиц занимают срочные и условные вклады </w:t>
      </w:r>
      <w:r w:rsidRPr="00D1718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свыше Т15 млн.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Общий отток по данному размеру вкладов составил Т124,3 млрд., который был обусловлен изъятием депозитов в иностранной валюте в общей сумме Т129,3 млрд., и их одновременным размещением в национальной валюте на сумму Т5,0 млрд.</w:t>
      </w:r>
    </w:p>
    <w:p w:rsidR="001B1FD7" w:rsidRDefault="001B1FD7" w:rsidP="001B1FD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Сокращение </w:t>
      </w:r>
      <w:r w:rsidRPr="00F563C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вкладов до востребования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E41C62">
        <w:rPr>
          <w:rFonts w:ascii="Times New Roman" w:eastAsia="Times New Roman" w:hAnsi="Times New Roman"/>
          <w:sz w:val="24"/>
          <w:szCs w:val="24"/>
          <w:lang w:eastAsia="ru-RU"/>
        </w:rPr>
        <w:t>занимающих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0,3% розничного депозитного портфеля, </w:t>
      </w:r>
      <w:r w:rsidRPr="000F677A">
        <w:rPr>
          <w:rFonts w:ascii="Times New Roman" w:eastAsia="Times New Roman" w:hAnsi="Times New Roman"/>
          <w:sz w:val="24"/>
          <w:szCs w:val="24"/>
          <w:lang w:eastAsia="ru-RU"/>
        </w:rPr>
        <w:t>составил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F677A">
        <w:rPr>
          <w:rFonts w:ascii="Times New Roman" w:eastAsia="Times New Roman" w:hAnsi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5,7</w:t>
      </w:r>
      <w:r w:rsidRPr="000F677A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(-29,2%). Данное изменение произошло за счет уменьшения вкладов в национальной валюте на 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,9 млрд. и вкладов в иностранной валюте на Т0,8 млрд. </w:t>
      </w:r>
    </w:p>
    <w:p w:rsidR="001B1FD7" w:rsidRDefault="001B1FD7" w:rsidP="001B1FD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0F67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63C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остаткам на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текущих</w:t>
      </w:r>
      <w:proofErr w:type="gramEnd"/>
      <w:r w:rsidRPr="00F563C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и карт-счетах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F563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также как и по предыдущим категориям, произошло отрицательное изменение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составившее Т21,1 млрд. (-4,6%). При этом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стоит отметить, что остатки на счетах</w:t>
      </w:r>
      <w:r w:rsidRPr="005E16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иностранной валюте увеличились на Т28,4 млрд., а в национальной валюте снизились Т49,5 млрд. </w:t>
      </w:r>
    </w:p>
    <w:p w:rsidR="00D22406" w:rsidRDefault="001B1FD7" w:rsidP="00D2240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E5CB9">
        <w:rPr>
          <w:rFonts w:ascii="Times New Roman" w:hAnsi="Times New Roman"/>
          <w:sz w:val="24"/>
          <w:szCs w:val="24"/>
        </w:rPr>
        <w:t>Совокупная сумма гарантийного возмещения по депозитам физических лиц, подлежащая выплате Фондо</w:t>
      </w:r>
      <w:r>
        <w:rPr>
          <w:rFonts w:ascii="Times New Roman" w:hAnsi="Times New Roman"/>
          <w:sz w:val="24"/>
          <w:szCs w:val="24"/>
        </w:rPr>
        <w:t xml:space="preserve">м, по состоянию </w:t>
      </w:r>
      <w:r w:rsidRPr="007F64DF">
        <w:rPr>
          <w:rFonts w:ascii="Times New Roman" w:hAnsi="Times New Roman"/>
          <w:b/>
          <w:i/>
          <w:sz w:val="24"/>
          <w:szCs w:val="24"/>
        </w:rPr>
        <w:t>на 1 апреля 2015 г.</w:t>
      </w:r>
      <w:r w:rsidRPr="00CE5C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составляет</w:t>
      </w:r>
      <w:r w:rsidRPr="00CE5CB9">
        <w:rPr>
          <w:rFonts w:ascii="Times New Roman" w:hAnsi="Times New Roman"/>
          <w:sz w:val="24"/>
          <w:szCs w:val="24"/>
        </w:rPr>
        <w:t xml:space="preserve"> Т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,3</w:t>
      </w:r>
      <w:r w:rsidRPr="00CE5CB9">
        <w:rPr>
          <w:rFonts w:ascii="Times New Roman" w:hAnsi="Times New Roman"/>
          <w:sz w:val="24"/>
          <w:szCs w:val="24"/>
        </w:rPr>
        <w:t xml:space="preserve"> трлн. При этом специальный резерв Фонда на отчетную </w:t>
      </w:r>
      <w:r>
        <w:rPr>
          <w:rFonts w:ascii="Times New Roman" w:hAnsi="Times New Roman"/>
          <w:sz w:val="24"/>
          <w:szCs w:val="24"/>
        </w:rPr>
        <w:t xml:space="preserve">дату </w:t>
      </w:r>
      <w:r w:rsidR="004A175F">
        <w:rPr>
          <w:rFonts w:ascii="Times New Roman" w:hAnsi="Times New Roman"/>
          <w:sz w:val="24"/>
          <w:szCs w:val="24"/>
        </w:rPr>
        <w:t xml:space="preserve">составляет </w:t>
      </w:r>
      <w:r w:rsidRPr="009E45F3">
        <w:rPr>
          <w:rFonts w:ascii="Times New Roman" w:hAnsi="Times New Roman"/>
          <w:sz w:val="24"/>
          <w:szCs w:val="24"/>
        </w:rPr>
        <w:t>Т2</w:t>
      </w:r>
      <w:r>
        <w:rPr>
          <w:rFonts w:ascii="Times New Roman" w:hAnsi="Times New Roman"/>
          <w:sz w:val="24"/>
          <w:szCs w:val="24"/>
        </w:rPr>
        <w:t>22</w:t>
      </w:r>
      <w:r w:rsidRPr="009E45F3">
        <w:rPr>
          <w:rFonts w:ascii="Times New Roman" w:hAnsi="Times New Roman"/>
          <w:sz w:val="24"/>
          <w:szCs w:val="24"/>
        </w:rPr>
        <w:t>,4</w:t>
      </w:r>
      <w:r w:rsidRPr="002249E6">
        <w:rPr>
          <w:rFonts w:ascii="Times New Roman" w:hAnsi="Times New Roman"/>
          <w:sz w:val="24"/>
          <w:szCs w:val="24"/>
        </w:rPr>
        <w:t xml:space="preserve"> млрд.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7C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ез учета средств уставного капитала Фонда. 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В случае необходимости Фонд по решению Акционера может использовать до 70% уставного капитала для пополнения дефицита специального резерва Фонда, который в этом случае </w:t>
      </w:r>
      <w:r w:rsidRPr="00E54207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достигнет </w:t>
      </w:r>
      <w:r w:rsidRPr="00E54207">
        <w:rPr>
          <w:rFonts w:ascii="Times New Roman" w:hAnsi="Times New Roman"/>
          <w:sz w:val="24"/>
          <w:szCs w:val="24"/>
        </w:rPr>
        <w:t>Т32</w:t>
      </w:r>
      <w:r>
        <w:rPr>
          <w:rFonts w:ascii="Times New Roman" w:hAnsi="Times New Roman"/>
          <w:sz w:val="24"/>
          <w:szCs w:val="24"/>
        </w:rPr>
        <w:t>7</w:t>
      </w:r>
      <w:r w:rsidRPr="00E54207">
        <w:rPr>
          <w:rFonts w:ascii="Times New Roman" w:hAnsi="Times New Roman"/>
          <w:sz w:val="24"/>
          <w:szCs w:val="24"/>
        </w:rPr>
        <w:t>,9 млрд., или 14,</w:t>
      </w:r>
      <w:r>
        <w:rPr>
          <w:rFonts w:ascii="Times New Roman" w:hAnsi="Times New Roman"/>
          <w:sz w:val="24"/>
          <w:szCs w:val="24"/>
        </w:rPr>
        <w:t>7</w:t>
      </w:r>
      <w:r w:rsidRPr="00E54207">
        <w:rPr>
          <w:rFonts w:ascii="Times New Roman" w:hAnsi="Times New Roman"/>
          <w:sz w:val="24"/>
          <w:szCs w:val="24"/>
        </w:rPr>
        <w:t>% от совокупной суммы гарантийного возмещения и 7,</w:t>
      </w:r>
      <w:r>
        <w:rPr>
          <w:rFonts w:ascii="Times New Roman" w:hAnsi="Times New Roman"/>
          <w:sz w:val="24"/>
          <w:szCs w:val="24"/>
        </w:rPr>
        <w:t>6</w:t>
      </w:r>
      <w:r w:rsidRPr="00E54207">
        <w:rPr>
          <w:rFonts w:ascii="Times New Roman" w:hAnsi="Times New Roman"/>
          <w:sz w:val="24"/>
          <w:szCs w:val="24"/>
        </w:rPr>
        <w:t xml:space="preserve"> % от общего депозитного портфеля в банках-участниках. </w:t>
      </w:r>
    </w:p>
    <w:p w:rsidR="0097307F" w:rsidRPr="0097307F" w:rsidRDefault="001B1FD7" w:rsidP="00DD76A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064A6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 w:rsidR="0097307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7307F" w:rsidRPr="0097307F">
        <w:rPr>
          <w:rFonts w:ascii="Times New Roman" w:eastAsia="Times New Roman" w:hAnsi="Times New Roman"/>
          <w:sz w:val="24"/>
          <w:szCs w:val="24"/>
          <w:lang w:eastAsia="ru-RU"/>
        </w:rPr>
        <w:t>истема расчета дифференцированных ставок обязательных календарных взносов «БАТА»</w:t>
      </w:r>
      <w:r w:rsidR="0097307F" w:rsidRPr="0097307F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 w:rsidR="0097307F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</w:t>
      </w:r>
      <w:r w:rsidR="0097307F" w:rsidRPr="0097307F">
        <w:rPr>
          <w:rFonts w:ascii="Times New Roman" w:eastAsia="Times New Roman" w:hAnsi="Times New Roman"/>
          <w:sz w:val="24"/>
          <w:szCs w:val="24"/>
          <w:lang w:eastAsia="ru-RU"/>
        </w:rPr>
        <w:t>(далее – СДС «БАТА»</w:t>
      </w:r>
      <w:r w:rsidR="00BD50DD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footnoteReference w:id="2"/>
      </w:r>
      <w:r w:rsidR="0097307F" w:rsidRPr="0097307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730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 xml:space="preserve"> квартал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</w:t>
      </w:r>
      <w:r w:rsidR="00551AC3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банков-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участников изменили свои позиции. Два</w:t>
      </w:r>
      <w:r w:rsidR="00551AC3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участника улучшили свои результаты, перейдя в менее рисковые классификационные группы. Ухудшение резуль</w:t>
      </w:r>
      <w:r w:rsidR="00551AC3">
        <w:rPr>
          <w:rFonts w:ascii="Times New Roman" w:eastAsia="Times New Roman" w:hAnsi="Times New Roman"/>
          <w:sz w:val="24"/>
          <w:szCs w:val="24"/>
          <w:lang w:eastAsia="ru-RU"/>
        </w:rPr>
        <w:t>татов произошло у трех банков-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участников, которые нарушили максимальные ставки вознаграждения по депозитам, таким образом, были определены в классификационную группу «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51A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8241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 xml:space="preserve">В итоге, банки-участники распределились следующим образом в классификационных группах: доля группы «A» составила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5,4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>% (</w:t>
      </w:r>
      <w:r w:rsidR="00551AC3">
        <w:rPr>
          <w:rFonts w:ascii="Times New Roman" w:eastAsia="Times New Roman" w:hAnsi="Times New Roman"/>
          <w:sz w:val="24"/>
          <w:szCs w:val="24"/>
          <w:lang w:eastAsia="ru-RU"/>
        </w:rPr>
        <w:t xml:space="preserve">2 банка), доля группы «B» – 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>18,9% (7 банков), доля группы «C»</w:t>
      </w:r>
      <w:r w:rsidR="00551AC3" w:rsidRPr="00551A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1AC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40,5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>% (1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банков), доля группы «D» </w:t>
      </w:r>
      <w:r w:rsidR="00551AC3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21,6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>%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банков), доля группы «Е» </w:t>
      </w:r>
      <w:r w:rsidR="00551AC3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5,4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>% (</w:t>
      </w:r>
      <w:r w:rsidR="00551AC3">
        <w:rPr>
          <w:rFonts w:ascii="Times New Roman" w:eastAsia="Times New Roman" w:hAnsi="Times New Roman"/>
          <w:sz w:val="24"/>
          <w:szCs w:val="24"/>
          <w:lang w:eastAsia="ru-RU"/>
        </w:rPr>
        <w:t>2 банка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и доля группы «S» </w:t>
      </w:r>
      <w:r w:rsidR="00551AC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8,1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(3 банка)</w:t>
      </w:r>
      <w:r w:rsidRPr="004D25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1A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51AC3" w:rsidRPr="00D22406" w:rsidRDefault="001B1FD7" w:rsidP="00D22406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7A0">
        <w:rPr>
          <w:rFonts w:ascii="Times New Roman" w:eastAsia="Times New Roman" w:hAnsi="Times New Roman"/>
          <w:sz w:val="24"/>
          <w:szCs w:val="24"/>
          <w:lang w:eastAsia="ru-RU"/>
        </w:rPr>
        <w:t>Совокупная сумма календарных взносов, уплаченная банками</w:t>
      </w:r>
      <w:r w:rsidR="00551AC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участниками</w:t>
      </w:r>
      <w:r w:rsidRPr="000F47A0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F47A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0F47A0">
        <w:rPr>
          <w:rFonts w:ascii="Times New Roman" w:eastAsia="Times New Roman" w:hAnsi="Times New Roman"/>
          <w:sz w:val="24"/>
          <w:szCs w:val="24"/>
          <w:lang w:eastAsia="ru-RU"/>
        </w:rPr>
        <w:t xml:space="preserve"> квартал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F47A0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0F47A0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составила </w:t>
      </w:r>
      <w:r w:rsidRPr="00DC7A5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,0 </w:t>
      </w:r>
      <w:r w:rsidRPr="000F47A0">
        <w:rPr>
          <w:rFonts w:ascii="Times New Roman" w:eastAsia="Times New Roman" w:hAnsi="Times New Roman"/>
          <w:sz w:val="24"/>
          <w:szCs w:val="24"/>
          <w:lang w:eastAsia="ru-RU"/>
        </w:rPr>
        <w:t>млрд</w:t>
      </w:r>
      <w:r w:rsidRPr="00EA0037">
        <w:rPr>
          <w:rFonts w:ascii="Times New Roman" w:eastAsia="Times New Roman" w:hAnsi="Times New Roman"/>
          <w:sz w:val="24"/>
          <w:szCs w:val="24"/>
          <w:lang w:eastAsia="ru-RU"/>
        </w:rPr>
        <w:t xml:space="preserve">., которая сократилась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Т1,9 млн</w:t>
      </w:r>
      <w:r w:rsidRPr="00EA00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F47A0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сравнению с предыдущим периодом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ввиду уменьшения депозитного портфеля банков-участников СГД.  </w:t>
      </w:r>
      <w:r w:rsidRPr="00364D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B1FD7" w:rsidRDefault="001B1FD7" w:rsidP="001B1FD7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960D7B">
        <w:rPr>
          <w:rFonts w:ascii="Times New Roman" w:hAnsi="Times New Roman"/>
          <w:sz w:val="24"/>
          <w:szCs w:val="24"/>
        </w:rPr>
        <w:t xml:space="preserve">Совокупная сумма выплаченного гарантийного возмещения Фондом по состоянию на 1 мая 2015 г. составила Т679,6 млн. по </w:t>
      </w:r>
      <w:proofErr w:type="spellStart"/>
      <w:r w:rsidRPr="00960D7B">
        <w:rPr>
          <w:rFonts w:ascii="Times New Roman" w:hAnsi="Times New Roman"/>
          <w:b/>
          <w:bCs/>
          <w:i/>
          <w:iCs/>
          <w:sz w:val="24"/>
          <w:szCs w:val="24"/>
        </w:rPr>
        <w:t>Наурыз</w:t>
      </w:r>
      <w:proofErr w:type="spellEnd"/>
      <w:r w:rsidRPr="00960D7B">
        <w:rPr>
          <w:rFonts w:ascii="Times New Roman" w:hAnsi="Times New Roman"/>
          <w:b/>
          <w:bCs/>
          <w:i/>
          <w:iCs/>
          <w:sz w:val="24"/>
          <w:szCs w:val="24"/>
        </w:rPr>
        <w:t xml:space="preserve"> Банку</w:t>
      </w:r>
      <w:r w:rsidRPr="00960D7B">
        <w:rPr>
          <w:rFonts w:ascii="Times New Roman" w:hAnsi="Times New Roman"/>
          <w:sz w:val="24"/>
          <w:szCs w:val="24"/>
        </w:rPr>
        <w:t xml:space="preserve"> и Т13,9 млрд. по </w:t>
      </w:r>
      <w:proofErr w:type="gramStart"/>
      <w:r w:rsidRPr="00960D7B">
        <w:rPr>
          <w:rFonts w:ascii="Times New Roman" w:hAnsi="Times New Roman"/>
          <w:b/>
          <w:bCs/>
          <w:i/>
          <w:iCs/>
          <w:sz w:val="24"/>
          <w:szCs w:val="24"/>
        </w:rPr>
        <w:t>Валют-Транзит</w:t>
      </w:r>
      <w:proofErr w:type="gramEnd"/>
      <w:r w:rsidRPr="00960D7B">
        <w:rPr>
          <w:rFonts w:ascii="Times New Roman" w:hAnsi="Times New Roman"/>
          <w:b/>
          <w:bCs/>
          <w:i/>
          <w:iCs/>
          <w:sz w:val="24"/>
          <w:szCs w:val="24"/>
        </w:rPr>
        <w:t xml:space="preserve"> Банку</w:t>
      </w:r>
      <w:r w:rsidRPr="00960D7B">
        <w:rPr>
          <w:rFonts w:ascii="Times New Roman" w:hAnsi="Times New Roman"/>
          <w:sz w:val="24"/>
          <w:szCs w:val="24"/>
        </w:rPr>
        <w:t xml:space="preserve">. Сумма, полученная в порядке удовлетворения требований Фонда по суммам выплаченного </w:t>
      </w:r>
      <w:r w:rsidRPr="00960D7B">
        <w:rPr>
          <w:rFonts w:ascii="Times New Roman" w:hAnsi="Times New Roman"/>
          <w:sz w:val="24"/>
          <w:szCs w:val="24"/>
        </w:rPr>
        <w:lastRenderedPageBreak/>
        <w:t xml:space="preserve">гарантийного возмещения ликвидационной комиссией </w:t>
      </w:r>
      <w:proofErr w:type="spellStart"/>
      <w:r w:rsidRPr="00960D7B">
        <w:rPr>
          <w:rFonts w:ascii="Times New Roman" w:hAnsi="Times New Roman"/>
          <w:b/>
          <w:bCs/>
          <w:i/>
          <w:iCs/>
          <w:sz w:val="24"/>
          <w:szCs w:val="24"/>
        </w:rPr>
        <w:t>Наурыз</w:t>
      </w:r>
      <w:proofErr w:type="spellEnd"/>
      <w:r w:rsidRPr="00960D7B">
        <w:rPr>
          <w:rFonts w:ascii="Times New Roman" w:hAnsi="Times New Roman"/>
          <w:b/>
          <w:bCs/>
          <w:i/>
          <w:iCs/>
          <w:sz w:val="24"/>
          <w:szCs w:val="24"/>
        </w:rPr>
        <w:t xml:space="preserve"> Банка</w:t>
      </w:r>
      <w:r w:rsidRPr="00960D7B">
        <w:rPr>
          <w:rFonts w:ascii="Times New Roman" w:hAnsi="Times New Roman"/>
          <w:sz w:val="24"/>
          <w:szCs w:val="24"/>
        </w:rPr>
        <w:t xml:space="preserve"> достигла Т679,4 млн. или 88,0% от совокупной суммы требований Фонда к ликвидационной комиссии, а по </w:t>
      </w:r>
      <w:proofErr w:type="gramStart"/>
      <w:r w:rsidRPr="00960D7B">
        <w:rPr>
          <w:rFonts w:ascii="Times New Roman" w:hAnsi="Times New Roman"/>
          <w:b/>
          <w:bCs/>
          <w:i/>
          <w:iCs/>
          <w:sz w:val="24"/>
          <w:szCs w:val="24"/>
        </w:rPr>
        <w:t>Валют-Транзит</w:t>
      </w:r>
      <w:proofErr w:type="gramEnd"/>
      <w:r w:rsidRPr="00960D7B">
        <w:rPr>
          <w:rFonts w:ascii="Times New Roman" w:hAnsi="Times New Roman"/>
          <w:b/>
          <w:bCs/>
          <w:i/>
          <w:iCs/>
          <w:sz w:val="24"/>
          <w:szCs w:val="24"/>
        </w:rPr>
        <w:t xml:space="preserve"> Банку </w:t>
      </w:r>
      <w:r w:rsidRPr="00960D7B">
        <w:rPr>
          <w:rFonts w:ascii="Times New Roman" w:hAnsi="Times New Roman"/>
          <w:sz w:val="24"/>
          <w:szCs w:val="24"/>
        </w:rPr>
        <w:t>– Т8,7 млрд.</w:t>
      </w:r>
      <w:r>
        <w:rPr>
          <w:rFonts w:ascii="Times New Roman" w:hAnsi="Times New Roman"/>
          <w:sz w:val="24"/>
          <w:szCs w:val="24"/>
        </w:rPr>
        <w:t>,</w:t>
      </w:r>
      <w:r w:rsidRPr="00960D7B">
        <w:rPr>
          <w:rFonts w:ascii="Times New Roman" w:hAnsi="Times New Roman"/>
          <w:sz w:val="24"/>
          <w:szCs w:val="24"/>
        </w:rPr>
        <w:t xml:space="preserve"> или около 61,7% от совокупной суммы требований Фонда.</w:t>
      </w:r>
    </w:p>
    <w:p w:rsidR="001B1FD7" w:rsidRDefault="001B1FD7" w:rsidP="001B1FD7">
      <w:pPr>
        <w:pStyle w:val="af"/>
        <w:spacing w:after="60"/>
        <w:ind w:left="0" w:firstLine="567"/>
        <w:jc w:val="both"/>
        <w:rPr>
          <w:rFonts w:ascii="Times New Roman" w:eastAsia="Times New Roman" w:hAnsi="Times New Roman" w:cs="Garamond"/>
          <w:bCs/>
          <w:sz w:val="24"/>
          <w:szCs w:val="24"/>
          <w:lang w:eastAsia="it-IT"/>
        </w:rPr>
      </w:pPr>
    </w:p>
    <w:p w:rsidR="004A175F" w:rsidRDefault="004A175F" w:rsidP="001B1FD7">
      <w:pPr>
        <w:pStyle w:val="af"/>
        <w:spacing w:after="60"/>
        <w:ind w:left="0" w:firstLine="567"/>
        <w:jc w:val="both"/>
        <w:rPr>
          <w:rFonts w:ascii="Times New Roman" w:eastAsia="Times New Roman" w:hAnsi="Times New Roman" w:cs="Garamond"/>
          <w:bCs/>
          <w:sz w:val="24"/>
          <w:szCs w:val="24"/>
          <w:lang w:eastAsia="it-IT"/>
        </w:rPr>
      </w:pPr>
    </w:p>
    <w:p w:rsidR="004A175F" w:rsidRDefault="004A175F" w:rsidP="001B1FD7">
      <w:pPr>
        <w:pStyle w:val="af"/>
        <w:spacing w:after="60"/>
        <w:ind w:left="0" w:firstLine="567"/>
        <w:jc w:val="both"/>
        <w:rPr>
          <w:rFonts w:ascii="Times New Roman" w:eastAsia="Times New Roman" w:hAnsi="Times New Roman" w:cs="Garamond"/>
          <w:bCs/>
          <w:sz w:val="24"/>
          <w:szCs w:val="24"/>
          <w:lang w:eastAsia="it-IT"/>
        </w:rPr>
      </w:pPr>
    </w:p>
    <w:p w:rsidR="004A175F" w:rsidRDefault="004A175F" w:rsidP="001B1FD7">
      <w:pPr>
        <w:pStyle w:val="af"/>
        <w:spacing w:after="60"/>
        <w:ind w:left="0" w:firstLine="567"/>
        <w:jc w:val="both"/>
        <w:rPr>
          <w:rFonts w:ascii="Times New Roman" w:eastAsia="Times New Roman" w:hAnsi="Times New Roman" w:cs="Garamond"/>
          <w:bCs/>
          <w:sz w:val="24"/>
          <w:szCs w:val="24"/>
          <w:lang w:eastAsia="it-IT"/>
        </w:rPr>
      </w:pPr>
    </w:p>
    <w:p w:rsidR="004A175F" w:rsidRDefault="004A175F" w:rsidP="001B1FD7">
      <w:pPr>
        <w:pStyle w:val="af"/>
        <w:spacing w:after="60"/>
        <w:ind w:left="0" w:firstLine="567"/>
        <w:jc w:val="both"/>
        <w:rPr>
          <w:rFonts w:ascii="Times New Roman" w:eastAsia="Times New Roman" w:hAnsi="Times New Roman" w:cs="Garamond"/>
          <w:bCs/>
          <w:sz w:val="24"/>
          <w:szCs w:val="24"/>
          <w:lang w:eastAsia="it-IT"/>
        </w:rPr>
      </w:pPr>
    </w:p>
    <w:p w:rsidR="00F811DD" w:rsidRDefault="00F811DD"/>
    <w:p w:rsidR="00551AC3" w:rsidRDefault="00551AC3"/>
    <w:p w:rsidR="00551AC3" w:rsidRDefault="00551AC3"/>
    <w:p w:rsidR="00BF15F3" w:rsidRDefault="00BF15F3"/>
    <w:p w:rsidR="00BF15F3" w:rsidRDefault="00BF15F3"/>
    <w:p w:rsidR="00BF15F3" w:rsidRDefault="00BF15F3"/>
    <w:p w:rsidR="00F26EF8" w:rsidRDefault="00F26EF8"/>
    <w:p w:rsidR="00F26EF8" w:rsidRDefault="00F26EF8"/>
    <w:p w:rsidR="00F26EF8" w:rsidRDefault="00F26EF8"/>
    <w:p w:rsidR="00F26EF8" w:rsidRDefault="00F26EF8"/>
    <w:p w:rsidR="00F26EF8" w:rsidRDefault="00F26EF8"/>
    <w:p w:rsidR="00F26EF8" w:rsidRDefault="00F26EF8"/>
    <w:p w:rsidR="00F26EF8" w:rsidRDefault="00F26EF8"/>
    <w:p w:rsidR="00F26EF8" w:rsidRDefault="00F26EF8"/>
    <w:p w:rsidR="00F26EF8" w:rsidRDefault="00F26EF8"/>
    <w:p w:rsidR="00F26EF8" w:rsidRDefault="00F26EF8"/>
    <w:p w:rsidR="00F26EF8" w:rsidRDefault="00F26EF8"/>
    <w:p w:rsidR="00DF5235" w:rsidRDefault="00DF5235"/>
    <w:p w:rsidR="00DD76A9" w:rsidRDefault="00DD76A9"/>
    <w:p w:rsidR="00DD76A9" w:rsidRDefault="00DD76A9"/>
    <w:p w:rsidR="00DD76A9" w:rsidRDefault="00DD76A9"/>
    <w:p w:rsidR="00DD76A9" w:rsidRDefault="00DD76A9"/>
    <w:p w:rsidR="00DD76A9" w:rsidRDefault="00DD76A9"/>
    <w:p w:rsidR="00DD76A9" w:rsidRDefault="00DD76A9"/>
    <w:p w:rsidR="00DF5235" w:rsidRDefault="00DF5235" w:rsidP="00DF5235">
      <w:pPr>
        <w:tabs>
          <w:tab w:val="left" w:pos="6885"/>
        </w:tabs>
        <w:spacing w:after="120"/>
        <w:ind w:firstLine="567"/>
        <w:jc w:val="right"/>
        <w:rPr>
          <w:rFonts w:ascii="Times New Roman" w:hAnsi="Times New Roman"/>
          <w:i/>
          <w:sz w:val="24"/>
          <w:szCs w:val="24"/>
        </w:rPr>
      </w:pPr>
      <w:r w:rsidRPr="00BD3DD9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</w:p>
    <w:p w:rsidR="003C32E9" w:rsidRDefault="003C32E9" w:rsidP="003C32E9">
      <w:pPr>
        <w:tabs>
          <w:tab w:val="left" w:pos="6885"/>
        </w:tabs>
        <w:spacing w:after="120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32BF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Свод сведений банков-участников по депозитам физических лиц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C32E9" w:rsidRPr="00BD3DD9" w:rsidRDefault="003C32E9" w:rsidP="003C32E9">
      <w:pPr>
        <w:tabs>
          <w:tab w:val="left" w:pos="6885"/>
        </w:tabs>
        <w:spacing w:after="120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Pr="003C32E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состоянию на 1 апреля 2015 г.</w:t>
      </w:r>
    </w:p>
    <w:tbl>
      <w:tblPr>
        <w:tblW w:w="9497" w:type="dxa"/>
        <w:jc w:val="center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4165"/>
        <w:gridCol w:w="1512"/>
        <w:gridCol w:w="1707"/>
        <w:gridCol w:w="1494"/>
      </w:tblGrid>
      <w:tr w:rsidR="00DF5235" w:rsidRPr="00102994" w:rsidTr="00102994">
        <w:trPr>
          <w:trHeight w:val="509"/>
          <w:jc w:val="center"/>
        </w:trPr>
        <w:tc>
          <w:tcPr>
            <w:tcW w:w="619" w:type="dxa"/>
            <w:shd w:val="clear" w:color="000000" w:fill="DBE5F1" w:themeFill="accent1" w:themeFillTint="33"/>
            <w:vAlign w:val="center"/>
            <w:hideMark/>
          </w:tcPr>
          <w:p w:rsidR="00DF5235" w:rsidRPr="00102994" w:rsidRDefault="00DF5235" w:rsidP="00153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ru-RU"/>
              </w:rPr>
              <w:t>№</w:t>
            </w:r>
          </w:p>
        </w:tc>
        <w:tc>
          <w:tcPr>
            <w:tcW w:w="4165" w:type="dxa"/>
            <w:shd w:val="clear" w:color="000000" w:fill="DBE5F1" w:themeFill="accent1" w:themeFillTint="33"/>
            <w:vAlign w:val="center"/>
            <w:hideMark/>
          </w:tcPr>
          <w:p w:rsidR="00DF5235" w:rsidRPr="00102994" w:rsidRDefault="00DF5235" w:rsidP="00153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ru-RU"/>
              </w:rPr>
              <w:t>Наименование</w:t>
            </w:r>
          </w:p>
        </w:tc>
        <w:tc>
          <w:tcPr>
            <w:tcW w:w="1512" w:type="dxa"/>
            <w:shd w:val="clear" w:color="000000" w:fill="DBE5F1" w:themeFill="accent1" w:themeFillTint="33"/>
            <w:vAlign w:val="center"/>
            <w:hideMark/>
          </w:tcPr>
          <w:p w:rsidR="00DF5235" w:rsidRPr="00102994" w:rsidRDefault="00DF5235" w:rsidP="00153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ru-RU"/>
              </w:rPr>
              <w:t>Сумма</w:t>
            </w:r>
          </w:p>
          <w:p w:rsidR="00B358D3" w:rsidRPr="00102994" w:rsidRDefault="00B358D3" w:rsidP="00153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ru-RU"/>
              </w:rPr>
              <w:t>(тыс.</w:t>
            </w:r>
            <w:r w:rsidR="00852CE9" w:rsidRPr="0010299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ru-RU"/>
              </w:rPr>
              <w:t xml:space="preserve"> тенге</w:t>
            </w:r>
            <w:r w:rsidRPr="0010299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1707" w:type="dxa"/>
            <w:shd w:val="clear" w:color="000000" w:fill="DBE5F1" w:themeFill="accent1" w:themeFillTint="33"/>
            <w:vAlign w:val="center"/>
            <w:hideMark/>
          </w:tcPr>
          <w:p w:rsidR="00852CE9" w:rsidRPr="00102994" w:rsidRDefault="00DF5235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6"/>
                <w:lang w:eastAsia="ru-RU"/>
              </w:rPr>
              <w:t>Изменение за 1-ый квартал</w:t>
            </w:r>
          </w:p>
        </w:tc>
        <w:tc>
          <w:tcPr>
            <w:tcW w:w="1494" w:type="dxa"/>
            <w:shd w:val="clear" w:color="000000" w:fill="DBE5F1" w:themeFill="accent1" w:themeFillTint="33"/>
            <w:vAlign w:val="center"/>
            <w:hideMark/>
          </w:tcPr>
          <w:p w:rsidR="00DF5235" w:rsidRPr="00102994" w:rsidRDefault="00DF5235" w:rsidP="00153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ru-RU"/>
              </w:rPr>
              <w:t>Количество счетов</w:t>
            </w:r>
          </w:p>
        </w:tc>
      </w:tr>
      <w:tr w:rsidR="00B358D3" w:rsidRPr="00102994" w:rsidTr="003C32E9">
        <w:trPr>
          <w:trHeight w:val="296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Всего депозитов физических лиц в тенге и иностранной валюте, в том числе: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4 297 637 839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  <w:t>-140 127 397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22 730 055</w:t>
            </w:r>
          </w:p>
        </w:tc>
      </w:tr>
      <w:tr w:rsidR="00B358D3" w:rsidRPr="00102994" w:rsidTr="003C32E9">
        <w:trPr>
          <w:trHeight w:val="173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1.</w:t>
            </w: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Вклады до востребования, в том числе: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13 837 249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  <w:t>-5 713 512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1 009 006</w:t>
            </w:r>
          </w:p>
        </w:tc>
      </w:tr>
      <w:tr w:rsidR="00B358D3" w:rsidRPr="00102994" w:rsidTr="003C32E9">
        <w:trPr>
          <w:trHeight w:val="136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1.1.</w:t>
            </w: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в тенге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4 809 241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-4 948 243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956 613</w:t>
            </w:r>
          </w:p>
        </w:tc>
      </w:tr>
      <w:tr w:rsidR="00B358D3" w:rsidRPr="00102994" w:rsidTr="003C32E9">
        <w:trPr>
          <w:trHeight w:val="256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1.2.</w:t>
            </w: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в иностранной валюте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9 028 008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-765 269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52 393</w:t>
            </w:r>
          </w:p>
        </w:tc>
      </w:tr>
      <w:tr w:rsidR="00B358D3" w:rsidRPr="00102994" w:rsidTr="003C32E9">
        <w:trPr>
          <w:trHeight w:val="817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Вклады до востребования руководящих работников и акционеров, владеющих пятью и более процентами акций банка с правом голоса, их близких родственников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5 114 296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-707 109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122</w:t>
            </w:r>
          </w:p>
        </w:tc>
      </w:tr>
      <w:tr w:rsidR="00B358D3" w:rsidRPr="00102994" w:rsidTr="003C32E9">
        <w:trPr>
          <w:trHeight w:val="246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2.</w:t>
            </w: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Срочные и условные вклады, в том числе: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3 845 458 938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  <w:t>-113 358 105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2 817 382</w:t>
            </w:r>
          </w:p>
        </w:tc>
      </w:tr>
      <w:tr w:rsidR="00B358D3" w:rsidRPr="00102994" w:rsidTr="003C32E9">
        <w:trPr>
          <w:trHeight w:val="82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2.1.</w:t>
            </w: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в тенге, в том числе: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1 074 491 752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6 928 802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1 996 959</w:t>
            </w:r>
          </w:p>
        </w:tc>
      </w:tr>
      <w:tr w:rsidR="00B358D3" w:rsidRPr="00102994" w:rsidTr="003C32E9">
        <w:trPr>
          <w:trHeight w:val="202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до 1000 тысяч тенге включительно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266 086 288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569 754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1 739 139</w:t>
            </w:r>
          </w:p>
        </w:tc>
      </w:tr>
      <w:tr w:rsidR="00B358D3" w:rsidRPr="00102994" w:rsidTr="003C32E9">
        <w:trPr>
          <w:trHeight w:val="363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от 1000 тысяч тенге до 3000 тысяч тенге включительно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313 795 369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691 041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193 203</w:t>
            </w:r>
          </w:p>
        </w:tc>
      </w:tr>
      <w:tr w:rsidR="00B358D3" w:rsidRPr="00102994" w:rsidTr="003C32E9">
        <w:trPr>
          <w:trHeight w:val="369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от 3000 тысяч тенге до 5000 тысяч тенге включительно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150 403 377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-869 885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39 284</w:t>
            </w:r>
          </w:p>
        </w:tc>
      </w:tr>
      <w:tr w:rsidR="00B358D3" w:rsidRPr="00102994" w:rsidTr="003C32E9">
        <w:trPr>
          <w:trHeight w:val="361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от 5000 тысяч тенге до 10 000 тысяч тенге включительно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122 575 872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905 416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19 220</w:t>
            </w:r>
          </w:p>
        </w:tc>
      </w:tr>
      <w:tr w:rsidR="00B358D3" w:rsidRPr="00102994" w:rsidTr="003C32E9">
        <w:trPr>
          <w:trHeight w:val="368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от 10 000 тысяч тенге до 15 000 тысяч тенге включительно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33 600 761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628 508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2 842</w:t>
            </w:r>
          </w:p>
        </w:tc>
      </w:tr>
      <w:tr w:rsidR="00B358D3" w:rsidRPr="00102994" w:rsidTr="003C32E9">
        <w:trPr>
          <w:trHeight w:val="221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свыше 15 000 тысяч тенге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188 030 085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5 003 969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3 271</w:t>
            </w:r>
          </w:p>
        </w:tc>
      </w:tr>
      <w:tr w:rsidR="00B358D3" w:rsidRPr="00102994" w:rsidTr="003C32E9">
        <w:trPr>
          <w:trHeight w:val="213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2.2.</w:t>
            </w: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в иностранной валюте, в том числе: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2 770 967 186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-120 286 907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820 423</w:t>
            </w:r>
          </w:p>
        </w:tc>
      </w:tr>
      <w:tr w:rsidR="00B358D3" w:rsidRPr="00102994" w:rsidTr="003C32E9">
        <w:trPr>
          <w:trHeight w:val="190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до 1000 тысяч тенге включительно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112 270 548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668 584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556 856</w:t>
            </w:r>
          </w:p>
        </w:tc>
      </w:tr>
      <w:tr w:rsidR="00B358D3" w:rsidRPr="00102994" w:rsidTr="003C32E9">
        <w:trPr>
          <w:trHeight w:val="319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от 1000 тысяч тенге до 3 000 тысяч тенге включительно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248 762 610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861 485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140 244</w:t>
            </w:r>
          </w:p>
        </w:tc>
      </w:tr>
      <w:tr w:rsidR="00B358D3" w:rsidRPr="00102994" w:rsidTr="003C32E9">
        <w:trPr>
          <w:trHeight w:val="325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от 3 000 тысяч тенге до 5 000 тысяч тенге включительно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212 908 971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-5 561 257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53 982</w:t>
            </w:r>
          </w:p>
        </w:tc>
      </w:tr>
      <w:tr w:rsidR="00B358D3" w:rsidRPr="00102994" w:rsidTr="003C32E9">
        <w:trPr>
          <w:trHeight w:val="511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от 5 000 тысяч тенге до 10 000 тысяч тенге включительно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269 869 551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13 068 415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39 976</w:t>
            </w:r>
          </w:p>
        </w:tc>
      </w:tr>
      <w:tr w:rsidR="00B358D3" w:rsidRPr="00102994" w:rsidTr="003C32E9">
        <w:trPr>
          <w:trHeight w:val="367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от 10 000 тысяч тенге до 15 000 тысяч тенге включительно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118 772 444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-42 870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9 821</w:t>
            </w:r>
          </w:p>
        </w:tc>
      </w:tr>
      <w:tr w:rsidR="00B358D3" w:rsidRPr="00102994" w:rsidTr="003C32E9">
        <w:trPr>
          <w:trHeight w:val="281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свыше 15 000 тысяч тенге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1 808 383 062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-129 281 265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19 544</w:t>
            </w:r>
          </w:p>
        </w:tc>
      </w:tr>
      <w:tr w:rsidR="00B358D3" w:rsidRPr="00102994" w:rsidTr="003C32E9">
        <w:trPr>
          <w:trHeight w:val="690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Срочные и условные вклады руководящих работников и акционеров, владеющих пятью и более процентами акций банка с правом голоса, их близких родственников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202 943 236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-65 891 316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1 906</w:t>
            </w:r>
          </w:p>
        </w:tc>
      </w:tr>
      <w:tr w:rsidR="00B358D3" w:rsidRPr="00102994" w:rsidTr="003C32E9">
        <w:trPr>
          <w:trHeight w:val="419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3.</w:t>
            </w: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Остатки денег на текущих счетах (с учетом остатков денег на </w:t>
            </w:r>
            <w:proofErr w:type="gramStart"/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карт-счетах</w:t>
            </w:r>
            <w:proofErr w:type="gramEnd"/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) в том числе: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438 341 652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6"/>
              </w:rPr>
              <w:t>-21 055 780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18 903 667</w:t>
            </w:r>
          </w:p>
        </w:tc>
      </w:tr>
      <w:tr w:rsidR="00B358D3" w:rsidRPr="00102994" w:rsidTr="003C32E9">
        <w:trPr>
          <w:trHeight w:val="107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3.1.</w:t>
            </w: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в тенге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316 076 582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-49 466 702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18 162 112</w:t>
            </w:r>
          </w:p>
        </w:tc>
      </w:tr>
      <w:tr w:rsidR="00B358D3" w:rsidRPr="00102994" w:rsidTr="003C32E9">
        <w:trPr>
          <w:trHeight w:val="226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3.2.</w:t>
            </w: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в иностранной валюте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122 265 070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28 410 922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741 555</w:t>
            </w:r>
          </w:p>
        </w:tc>
      </w:tr>
      <w:tr w:rsidR="00B358D3" w:rsidRPr="00102994" w:rsidTr="003C32E9">
        <w:trPr>
          <w:trHeight w:val="621"/>
          <w:jc w:val="center"/>
        </w:trPr>
        <w:tc>
          <w:tcPr>
            <w:tcW w:w="619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4165" w:type="dxa"/>
            <w:shd w:val="clear" w:color="auto" w:fill="auto"/>
            <w:hideMark/>
          </w:tcPr>
          <w:p w:rsidR="00B358D3" w:rsidRPr="00102994" w:rsidRDefault="00B358D3" w:rsidP="00852C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Остатки денег на текущих счетах (с учетом остатков денег на </w:t>
            </w:r>
            <w:proofErr w:type="gramStart"/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карт-счетах</w:t>
            </w:r>
            <w:proofErr w:type="gramEnd"/>
            <w:r w:rsidRPr="00102994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) руководящих работников и акционеров, владеющих пятью и более процентами акций банка с правом голоса, их близких родственников</w:t>
            </w:r>
          </w:p>
        </w:tc>
        <w:tc>
          <w:tcPr>
            <w:tcW w:w="1512" w:type="dxa"/>
            <w:shd w:val="clear" w:color="auto" w:fill="auto"/>
          </w:tcPr>
          <w:p w:rsidR="00B358D3" w:rsidRPr="00102994" w:rsidRDefault="00B358D3" w:rsidP="00852CE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2 775 401</w:t>
            </w:r>
          </w:p>
        </w:tc>
        <w:tc>
          <w:tcPr>
            <w:tcW w:w="1707" w:type="dxa"/>
            <w:shd w:val="clear" w:color="auto" w:fill="auto"/>
            <w:noWrap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i/>
                <w:iCs/>
                <w:color w:val="000000"/>
                <w:sz w:val="18"/>
                <w:szCs w:val="16"/>
              </w:rPr>
              <w:t>-1 219 113</w:t>
            </w:r>
          </w:p>
        </w:tc>
        <w:tc>
          <w:tcPr>
            <w:tcW w:w="1494" w:type="dxa"/>
            <w:shd w:val="clear" w:color="auto" w:fill="auto"/>
          </w:tcPr>
          <w:p w:rsidR="00B358D3" w:rsidRPr="00102994" w:rsidRDefault="00B358D3" w:rsidP="00852CE9">
            <w:pPr>
              <w:jc w:val="right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102994">
              <w:rPr>
                <w:rFonts w:ascii="Times New Roman" w:hAnsi="Times New Roman"/>
                <w:color w:val="000000"/>
                <w:sz w:val="18"/>
                <w:szCs w:val="16"/>
              </w:rPr>
              <w:t>37 790</w:t>
            </w:r>
          </w:p>
        </w:tc>
      </w:tr>
    </w:tbl>
    <w:p w:rsidR="00DF5235" w:rsidRDefault="00DF5235" w:rsidP="003C32E9"/>
    <w:sectPr w:rsidR="00DF5235" w:rsidSect="00DD76A9">
      <w:headerReference w:type="default" r:id="rId12"/>
      <w:footerReference w:type="default" r:id="rId13"/>
      <w:pgSz w:w="11906" w:h="16838"/>
      <w:pgMar w:top="672" w:right="851" w:bottom="426" w:left="1134" w:header="426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C42" w:rsidRDefault="00327C42" w:rsidP="001B1FD7">
      <w:pPr>
        <w:spacing w:after="0" w:line="240" w:lineRule="auto"/>
      </w:pPr>
      <w:r>
        <w:separator/>
      </w:r>
    </w:p>
  </w:endnote>
  <w:endnote w:type="continuationSeparator" w:id="0">
    <w:p w:rsidR="00327C42" w:rsidRDefault="00327C42" w:rsidP="001B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CF" w:rsidRPr="00B665CF" w:rsidRDefault="001B1FD7">
    <w:pPr>
      <w:ind w:right="260"/>
      <w:rPr>
        <w:color w:val="0F243E"/>
        <w:sz w:val="26"/>
        <w:szCs w:val="2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33D1BF" wp14:editId="5B025B96">
              <wp:simplePos x="0" y="0"/>
              <wp:positionH relativeFrom="page">
                <wp:posOffset>7024370</wp:posOffset>
              </wp:positionH>
              <wp:positionV relativeFrom="page">
                <wp:posOffset>10202545</wp:posOffset>
              </wp:positionV>
              <wp:extent cx="373380" cy="259080"/>
              <wp:effectExtent l="0" t="0" r="0" b="254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5CF" w:rsidRPr="005D10BA" w:rsidRDefault="001C5403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color w:val="0F243E"/>
                              <w:sz w:val="20"/>
                              <w:szCs w:val="26"/>
                            </w:rPr>
                          </w:pPr>
                          <w:r w:rsidRPr="005D10BA">
                            <w:rPr>
                              <w:rFonts w:ascii="Times New Roman" w:hAnsi="Times New Roman"/>
                              <w:color w:val="0F243E"/>
                              <w:sz w:val="20"/>
                              <w:szCs w:val="26"/>
                            </w:rPr>
                            <w:fldChar w:fldCharType="begin"/>
                          </w:r>
                          <w:r w:rsidRPr="005D10BA">
                            <w:rPr>
                              <w:rFonts w:ascii="Times New Roman" w:hAnsi="Times New Roman"/>
                              <w:color w:val="0F243E"/>
                              <w:sz w:val="20"/>
                              <w:szCs w:val="26"/>
                            </w:rPr>
                            <w:instrText>PAGE  \* Arabic  \* MERGEFORMAT</w:instrText>
                          </w:r>
                          <w:r w:rsidRPr="005D10BA">
                            <w:rPr>
                              <w:rFonts w:ascii="Times New Roman" w:hAnsi="Times New Roman"/>
                              <w:color w:val="0F243E"/>
                              <w:sz w:val="20"/>
                              <w:szCs w:val="26"/>
                            </w:rPr>
                            <w:fldChar w:fldCharType="separate"/>
                          </w:r>
                          <w:r w:rsidR="0068534E">
                            <w:rPr>
                              <w:rFonts w:ascii="Times New Roman" w:hAnsi="Times New Roman"/>
                              <w:noProof/>
                              <w:color w:val="0F243E"/>
                              <w:sz w:val="20"/>
                              <w:szCs w:val="26"/>
                            </w:rPr>
                            <w:t>3</w:t>
                          </w:r>
                          <w:r w:rsidRPr="005D10BA">
                            <w:rPr>
                              <w:rFonts w:ascii="Times New Roman" w:hAnsi="Times New Roman"/>
                              <w:color w:val="0F243E"/>
                              <w:sz w:val="20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6" type="#_x0000_t202" style="position:absolute;margin-left:553.1pt;margin-top:803.35pt;width:29.4pt;height:20.4pt;z-index:25166028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" stroked="f" strokeweight=".5pt">
              <v:textbox style="mso-fit-shape-to-text:t" inset="0,,0">
                <w:txbxContent>
                  <w:p w:rsidR="00B665CF" w:rsidRPr="005D10BA" w:rsidRDefault="001C5403">
                    <w:pPr>
                      <w:spacing w:after="0"/>
                      <w:jc w:val="center"/>
                      <w:rPr>
                        <w:rFonts w:ascii="Times New Roman" w:hAnsi="Times New Roman"/>
                        <w:color w:val="0F243E"/>
                        <w:sz w:val="20"/>
                        <w:szCs w:val="26"/>
                      </w:rPr>
                    </w:pPr>
                    <w:r w:rsidRPr="005D10BA">
                      <w:rPr>
                        <w:rFonts w:ascii="Times New Roman" w:hAnsi="Times New Roman"/>
                        <w:color w:val="0F243E"/>
                        <w:sz w:val="20"/>
                        <w:szCs w:val="26"/>
                      </w:rPr>
                      <w:fldChar w:fldCharType="begin"/>
                    </w:r>
                    <w:r w:rsidRPr="005D10BA">
                      <w:rPr>
                        <w:rFonts w:ascii="Times New Roman" w:hAnsi="Times New Roman"/>
                        <w:color w:val="0F243E"/>
                        <w:sz w:val="20"/>
                        <w:szCs w:val="26"/>
                      </w:rPr>
                      <w:instrText>PAGE  \* Arabic  \* MERGEFORMAT</w:instrText>
                    </w:r>
                    <w:r w:rsidRPr="005D10BA">
                      <w:rPr>
                        <w:rFonts w:ascii="Times New Roman" w:hAnsi="Times New Roman"/>
                        <w:color w:val="0F243E"/>
                        <w:sz w:val="20"/>
                        <w:szCs w:val="26"/>
                      </w:rPr>
                      <w:fldChar w:fldCharType="separate"/>
                    </w:r>
                    <w:r w:rsidR="0068534E">
                      <w:rPr>
                        <w:rFonts w:ascii="Times New Roman" w:hAnsi="Times New Roman"/>
                        <w:noProof/>
                        <w:color w:val="0F243E"/>
                        <w:sz w:val="20"/>
                        <w:szCs w:val="26"/>
                      </w:rPr>
                      <w:t>3</w:t>
                    </w:r>
                    <w:r w:rsidRPr="005D10BA">
                      <w:rPr>
                        <w:rFonts w:ascii="Times New Roman" w:hAnsi="Times New Roman"/>
                        <w:color w:val="0F243E"/>
                        <w:sz w:val="20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665CF" w:rsidRDefault="00327C4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C42" w:rsidRDefault="00327C42" w:rsidP="001B1FD7">
      <w:pPr>
        <w:spacing w:after="0" w:line="240" w:lineRule="auto"/>
      </w:pPr>
      <w:r>
        <w:separator/>
      </w:r>
    </w:p>
  </w:footnote>
  <w:footnote w:type="continuationSeparator" w:id="0">
    <w:p w:rsidR="00327C42" w:rsidRDefault="00327C42" w:rsidP="001B1FD7">
      <w:pPr>
        <w:spacing w:after="0" w:line="240" w:lineRule="auto"/>
      </w:pPr>
      <w:r>
        <w:continuationSeparator/>
      </w:r>
    </w:p>
  </w:footnote>
  <w:footnote w:id="1">
    <w:p w:rsidR="0097307F" w:rsidRPr="00BD50DD" w:rsidRDefault="0097307F" w:rsidP="00BD50DD">
      <w:pPr>
        <w:pStyle w:val="a5"/>
        <w:jc w:val="both"/>
        <w:rPr>
          <w:i/>
          <w:sz w:val="16"/>
          <w:lang w:val="kk-KZ"/>
        </w:rPr>
      </w:pPr>
      <w:r w:rsidRPr="00BD50DD">
        <w:rPr>
          <w:rStyle w:val="a7"/>
          <w:i/>
          <w:sz w:val="16"/>
          <w:szCs w:val="16"/>
        </w:rPr>
        <w:footnoteRef/>
      </w:r>
      <w:r w:rsidR="00BD50DD" w:rsidRPr="00BD50DD">
        <w:rPr>
          <w:i/>
          <w:sz w:val="16"/>
          <w:szCs w:val="16"/>
          <w:lang w:val="ru-RU"/>
        </w:rPr>
        <w:t xml:space="preserve">  </w:t>
      </w:r>
      <w:r w:rsidR="00851E41" w:rsidRPr="00BD50DD">
        <w:rPr>
          <w:i/>
          <w:sz w:val="16"/>
          <w:szCs w:val="16"/>
          <w:lang w:val="kk-KZ"/>
        </w:rPr>
        <w:t>БАнктерді</w:t>
      </w:r>
      <w:r w:rsidR="00851E41" w:rsidRPr="00BD50DD">
        <w:rPr>
          <w:i/>
          <w:sz w:val="14"/>
          <w:lang w:val="kk-KZ"/>
        </w:rPr>
        <w:t xml:space="preserve"> </w:t>
      </w:r>
      <w:r w:rsidR="00851E41" w:rsidRPr="00BD50DD">
        <w:rPr>
          <w:i/>
          <w:sz w:val="16"/>
          <w:lang w:val="kk-KZ"/>
        </w:rPr>
        <w:t>ТАлдау – анализ банков (каз.)</w:t>
      </w:r>
    </w:p>
  </w:footnote>
  <w:footnote w:id="2">
    <w:p w:rsidR="00BD50DD" w:rsidRPr="003C7D73" w:rsidRDefault="00BD50DD" w:rsidP="00BD50DD">
      <w:pPr>
        <w:pStyle w:val="a5"/>
        <w:jc w:val="both"/>
        <w:rPr>
          <w:i/>
          <w:sz w:val="16"/>
          <w:lang w:val="ru-RU"/>
        </w:rPr>
      </w:pPr>
      <w:r w:rsidRPr="00BD50DD">
        <w:rPr>
          <w:rStyle w:val="a7"/>
          <w:i/>
          <w:sz w:val="16"/>
        </w:rPr>
        <w:footnoteRef/>
      </w:r>
      <w:r w:rsidRPr="00BD50DD">
        <w:rPr>
          <w:i/>
          <w:sz w:val="16"/>
          <w:lang w:val="ru-RU"/>
        </w:rPr>
        <w:t xml:space="preserve"> </w:t>
      </w:r>
      <w:r>
        <w:rPr>
          <w:i/>
          <w:sz w:val="16"/>
        </w:rPr>
        <w:t>С</w:t>
      </w:r>
      <w:r>
        <w:rPr>
          <w:i/>
          <w:sz w:val="16"/>
          <w:lang w:val="ru-RU"/>
        </w:rPr>
        <w:t xml:space="preserve">ДС </w:t>
      </w:r>
      <w:r w:rsidRPr="00BD50DD">
        <w:rPr>
          <w:i/>
          <w:sz w:val="16"/>
        </w:rPr>
        <w:t>«БАТА» была внедрена Фондом в 2007 году для адекватной оценки финансовой позиции и профил</w:t>
      </w:r>
      <w:r>
        <w:rPr>
          <w:i/>
          <w:sz w:val="16"/>
        </w:rPr>
        <w:t>я рисков</w:t>
      </w:r>
      <w:r w:rsidR="0068534E">
        <w:rPr>
          <w:i/>
          <w:sz w:val="16"/>
          <w:lang w:val="ru-RU"/>
        </w:rPr>
        <w:t xml:space="preserve"> банков-участников</w:t>
      </w:r>
      <w:r w:rsidR="003C7D73">
        <w:rPr>
          <w:i/>
          <w:sz w:val="16"/>
          <w:lang w:val="ru-RU"/>
        </w:rPr>
        <w:t xml:space="preserve">. </w:t>
      </w:r>
      <w:r w:rsidRPr="00BD50DD">
        <w:rPr>
          <w:i/>
          <w:sz w:val="16"/>
        </w:rPr>
        <w:t xml:space="preserve">В СДС «БАТА» 6 классификационных групп, каждой из которых соответствует своя ставка взноса, и чем выше уровень финансовой неустойчивости и рискованности банка, тем выше ставка его календарного взноса. Одними из основных характеристик данной системы является ее </w:t>
      </w:r>
      <w:proofErr w:type="spellStart"/>
      <w:r w:rsidRPr="00BD50DD">
        <w:rPr>
          <w:i/>
          <w:sz w:val="16"/>
        </w:rPr>
        <w:t>транспарентность</w:t>
      </w:r>
      <w:proofErr w:type="spellEnd"/>
      <w:r w:rsidRPr="00BD50DD">
        <w:rPr>
          <w:i/>
          <w:sz w:val="16"/>
        </w:rPr>
        <w:t xml:space="preserve"> для банков-участников и конфиденциальность присвоенных рейтингов.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41" w:rsidRPr="004E72C8" w:rsidRDefault="001B1FD7" w:rsidP="001059E7">
    <w:pPr>
      <w:pStyle w:val="ab"/>
      <w:ind w:left="709"/>
      <w:rPr>
        <w:rFonts w:ascii="Times New Roman" w:hAnsi="Times New Roman"/>
        <w:i/>
        <w:sz w:val="18"/>
        <w:szCs w:val="18"/>
        <w:lang w:val="ru-RU"/>
      </w:rPr>
    </w:pPr>
    <w:r>
      <w:rPr>
        <w:rFonts w:ascii="Times New Roman" w:hAnsi="Times New Roman"/>
        <w:noProof/>
        <w:lang w:val="ru-RU" w:eastAsia="ru-RU" w:bidi="ar-SA"/>
      </w:rPr>
      <w:drawing>
        <wp:anchor distT="0" distB="0" distL="114300" distR="114300" simplePos="0" relativeHeight="251659264" behindDoc="0" locked="0" layoutInCell="1" allowOverlap="1" wp14:anchorId="3B395068" wp14:editId="20CE7A3A">
          <wp:simplePos x="0" y="0"/>
          <wp:positionH relativeFrom="column">
            <wp:posOffset>-5080</wp:posOffset>
          </wp:positionH>
          <wp:positionV relativeFrom="paragraph">
            <wp:posOffset>16510</wp:posOffset>
          </wp:positionV>
          <wp:extent cx="379095" cy="323850"/>
          <wp:effectExtent l="0" t="0" r="1905" b="0"/>
          <wp:wrapSquare wrapText="bothSides"/>
          <wp:docPr id="17" name="Рисунок 17" descr="C:\Documents and Settings\User\Мои документы\Mои рисунки\KDIF\KDIF3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C:\Documents and Settings\User\Мои документы\Mои рисунки\KDIF\KDIF3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403" w:rsidRPr="00B31E5D">
      <w:rPr>
        <w:rFonts w:ascii="Times New Roman" w:hAnsi="Times New Roman"/>
        <w:i/>
        <w:sz w:val="18"/>
        <w:szCs w:val="18"/>
      </w:rPr>
      <w:t>Казахстански</w:t>
    </w:r>
    <w:r w:rsidR="001C5403">
      <w:rPr>
        <w:rFonts w:ascii="Times New Roman" w:hAnsi="Times New Roman"/>
        <w:i/>
        <w:sz w:val="18"/>
        <w:szCs w:val="18"/>
      </w:rPr>
      <w:t>й фонд гарантирования депозитов</w:t>
    </w:r>
  </w:p>
  <w:p w:rsidR="00B86341" w:rsidRPr="002C383C" w:rsidRDefault="001C5403" w:rsidP="001059E7">
    <w:pPr>
      <w:pStyle w:val="ab"/>
      <w:pBdr>
        <w:bottom w:val="single" w:sz="4" w:space="1" w:color="auto"/>
      </w:pBdr>
      <w:ind w:left="709"/>
      <w:rPr>
        <w:rFonts w:ascii="Times New Roman" w:hAnsi="Times New Roman"/>
        <w:i/>
        <w:sz w:val="18"/>
        <w:szCs w:val="18"/>
        <w:lang w:val="ru-RU"/>
      </w:rPr>
    </w:pPr>
    <w:r w:rsidRPr="00B31E5D">
      <w:rPr>
        <w:rFonts w:ascii="Times New Roman" w:hAnsi="Times New Roman"/>
        <w:i/>
        <w:sz w:val="18"/>
        <w:szCs w:val="18"/>
      </w:rPr>
      <w:t>Информационн</w:t>
    </w:r>
    <w:r w:rsidR="00DF5235">
      <w:rPr>
        <w:rFonts w:ascii="Times New Roman" w:hAnsi="Times New Roman"/>
        <w:i/>
        <w:sz w:val="18"/>
        <w:szCs w:val="18"/>
        <w:lang w:val="ru-RU"/>
      </w:rPr>
      <w:t>ый</w:t>
    </w:r>
    <w:r w:rsidRPr="00B31E5D">
      <w:rPr>
        <w:rFonts w:ascii="Times New Roman" w:hAnsi="Times New Roman"/>
        <w:i/>
        <w:sz w:val="18"/>
        <w:szCs w:val="18"/>
      </w:rPr>
      <w:t xml:space="preserve"> обзор за</w:t>
    </w:r>
    <w:r w:rsidRPr="003D4667">
      <w:rPr>
        <w:rFonts w:ascii="Times New Roman" w:hAnsi="Times New Roman"/>
        <w:i/>
        <w:sz w:val="18"/>
        <w:szCs w:val="18"/>
        <w:lang w:val="ru-RU"/>
      </w:rPr>
      <w:t xml:space="preserve"> </w:t>
    </w:r>
    <w:r>
      <w:rPr>
        <w:rFonts w:ascii="Times New Roman" w:hAnsi="Times New Roman"/>
        <w:i/>
        <w:sz w:val="18"/>
        <w:szCs w:val="18"/>
        <w:lang w:val="ru-RU"/>
      </w:rPr>
      <w:t xml:space="preserve">1-ый </w:t>
    </w:r>
    <w:r>
      <w:rPr>
        <w:rFonts w:ascii="Times New Roman" w:hAnsi="Times New Roman"/>
        <w:i/>
        <w:sz w:val="18"/>
        <w:szCs w:val="18"/>
      </w:rPr>
      <w:t>квартал 201</w:t>
    </w:r>
    <w:r>
      <w:rPr>
        <w:rFonts w:ascii="Times New Roman" w:hAnsi="Times New Roman"/>
        <w:i/>
        <w:sz w:val="18"/>
        <w:szCs w:val="18"/>
        <w:lang w:val="ru-RU"/>
      </w:rPr>
      <w:t xml:space="preserve">5 </w:t>
    </w:r>
    <w:r w:rsidRPr="00B31E5D">
      <w:rPr>
        <w:rFonts w:ascii="Times New Roman" w:hAnsi="Times New Roman"/>
        <w:i/>
        <w:sz w:val="18"/>
        <w:szCs w:val="18"/>
      </w:rPr>
      <w:t>г.</w:t>
    </w:r>
  </w:p>
  <w:p w:rsidR="00B86341" w:rsidRDefault="00327C42" w:rsidP="009852E1">
    <w:pPr>
      <w:pStyle w:val="ab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09A"/>
    <w:multiLevelType w:val="multilevel"/>
    <w:tmpl w:val="D3E45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D860EF2"/>
    <w:multiLevelType w:val="hybridMultilevel"/>
    <w:tmpl w:val="303E289C"/>
    <w:lvl w:ilvl="0" w:tplc="48986D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11DA0"/>
    <w:multiLevelType w:val="multilevel"/>
    <w:tmpl w:val="7700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trike w:val="0"/>
        <w:shadow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9089F"/>
    <w:multiLevelType w:val="multilevel"/>
    <w:tmpl w:val="D2F00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68D652A"/>
    <w:multiLevelType w:val="hybridMultilevel"/>
    <w:tmpl w:val="A732A7DE"/>
    <w:lvl w:ilvl="0" w:tplc="5AD89C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8366DB"/>
    <w:multiLevelType w:val="hybridMultilevel"/>
    <w:tmpl w:val="F072C534"/>
    <w:lvl w:ilvl="0" w:tplc="4BEAE32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E065B4"/>
    <w:multiLevelType w:val="hybridMultilevel"/>
    <w:tmpl w:val="5948B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D15F0"/>
    <w:multiLevelType w:val="hybridMultilevel"/>
    <w:tmpl w:val="99C822B4"/>
    <w:lvl w:ilvl="0" w:tplc="1D36F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93A81"/>
    <w:multiLevelType w:val="hybridMultilevel"/>
    <w:tmpl w:val="1F22D6C8"/>
    <w:lvl w:ilvl="0" w:tplc="3F90FA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9">
    <w:nsid w:val="323E2574"/>
    <w:multiLevelType w:val="hybridMultilevel"/>
    <w:tmpl w:val="B8A40AF8"/>
    <w:lvl w:ilvl="0" w:tplc="6D9EBC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2650A08"/>
    <w:multiLevelType w:val="multilevel"/>
    <w:tmpl w:val="85C092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/>
        <w:strike w:val="0"/>
        <w:shadow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B30DEF"/>
    <w:multiLevelType w:val="hybridMultilevel"/>
    <w:tmpl w:val="30EA01C0"/>
    <w:lvl w:ilvl="0" w:tplc="935E1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ED5313A"/>
    <w:multiLevelType w:val="multilevel"/>
    <w:tmpl w:val="7700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trike w:val="0"/>
        <w:shadow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C941AB"/>
    <w:multiLevelType w:val="hybridMultilevel"/>
    <w:tmpl w:val="2216F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E79D6"/>
    <w:multiLevelType w:val="hybridMultilevel"/>
    <w:tmpl w:val="AE708CB4"/>
    <w:lvl w:ilvl="0" w:tplc="12A48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1E4D54"/>
    <w:multiLevelType w:val="hybridMultilevel"/>
    <w:tmpl w:val="9AE6F0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464F1610"/>
    <w:multiLevelType w:val="hybridMultilevel"/>
    <w:tmpl w:val="0004F260"/>
    <w:lvl w:ilvl="0" w:tplc="00FAD49A">
      <w:start w:val="1"/>
      <w:numFmt w:val="decimal"/>
      <w:lvlText w:val="%1."/>
      <w:lvlJc w:val="left"/>
      <w:pPr>
        <w:ind w:left="360" w:hanging="360"/>
      </w:pPr>
      <w:rPr>
        <w:b/>
        <w:i/>
        <w:shadow/>
        <w:color w:val="auto"/>
      </w:r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>
    <w:nsid w:val="4FC56D17"/>
    <w:multiLevelType w:val="hybridMultilevel"/>
    <w:tmpl w:val="6A1C4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3244CA"/>
    <w:multiLevelType w:val="hybridMultilevel"/>
    <w:tmpl w:val="50CE69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A7F4C"/>
    <w:multiLevelType w:val="hybridMultilevel"/>
    <w:tmpl w:val="6A4099D6"/>
    <w:lvl w:ilvl="0" w:tplc="88081F5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8D81803"/>
    <w:multiLevelType w:val="hybridMultilevel"/>
    <w:tmpl w:val="BDA01626"/>
    <w:lvl w:ilvl="0" w:tplc="1E7CEABC">
      <w:start w:val="1"/>
      <w:numFmt w:val="decimal"/>
      <w:lvlText w:val="%1."/>
      <w:lvlJc w:val="left"/>
      <w:pPr>
        <w:ind w:left="502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99866AA"/>
    <w:multiLevelType w:val="hybridMultilevel"/>
    <w:tmpl w:val="B70E11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A13429A"/>
    <w:multiLevelType w:val="hybridMultilevel"/>
    <w:tmpl w:val="CB6A2020"/>
    <w:lvl w:ilvl="0" w:tplc="0388D682">
      <w:start w:val="1"/>
      <w:numFmt w:val="decimal"/>
      <w:lvlText w:val="(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447BE"/>
    <w:multiLevelType w:val="hybridMultilevel"/>
    <w:tmpl w:val="2CBA3836"/>
    <w:lvl w:ilvl="0" w:tplc="4A609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951131"/>
    <w:multiLevelType w:val="hybridMultilevel"/>
    <w:tmpl w:val="113438D2"/>
    <w:lvl w:ilvl="0" w:tplc="6D723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3636CE9"/>
    <w:multiLevelType w:val="hybridMultilevel"/>
    <w:tmpl w:val="3574F6BE"/>
    <w:lvl w:ilvl="0" w:tplc="4EBE2FFC">
      <w:start w:val="3"/>
      <w:numFmt w:val="decimal"/>
      <w:lvlText w:val="%1."/>
      <w:lvlJc w:val="left"/>
      <w:pPr>
        <w:ind w:left="502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ADD42E3"/>
    <w:multiLevelType w:val="hybridMultilevel"/>
    <w:tmpl w:val="62BEA2F8"/>
    <w:lvl w:ilvl="0" w:tplc="27568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8"/>
  </w:num>
  <w:num w:numId="3">
    <w:abstractNumId w:val="22"/>
  </w:num>
  <w:num w:numId="4">
    <w:abstractNumId w:val="2"/>
  </w:num>
  <w:num w:numId="5">
    <w:abstractNumId w:val="10"/>
  </w:num>
  <w:num w:numId="6">
    <w:abstractNumId w:val="11"/>
  </w:num>
  <w:num w:numId="7">
    <w:abstractNumId w:val="23"/>
  </w:num>
  <w:num w:numId="8">
    <w:abstractNumId w:val="21"/>
  </w:num>
  <w:num w:numId="9">
    <w:abstractNumId w:val="16"/>
  </w:num>
  <w:num w:numId="10">
    <w:abstractNumId w:val="15"/>
  </w:num>
  <w:num w:numId="11">
    <w:abstractNumId w:val="18"/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9"/>
  </w:num>
  <w:num w:numId="18">
    <w:abstractNumId w:val="5"/>
  </w:num>
  <w:num w:numId="19">
    <w:abstractNumId w:val="26"/>
  </w:num>
  <w:num w:numId="20">
    <w:abstractNumId w:val="14"/>
  </w:num>
  <w:num w:numId="21">
    <w:abstractNumId w:val="4"/>
  </w:num>
  <w:num w:numId="22">
    <w:abstractNumId w:val="20"/>
  </w:num>
  <w:num w:numId="23">
    <w:abstractNumId w:val="25"/>
  </w:num>
  <w:num w:numId="24">
    <w:abstractNumId w:val="19"/>
  </w:num>
  <w:num w:numId="25">
    <w:abstractNumId w:val="0"/>
  </w:num>
  <w:num w:numId="26">
    <w:abstractNumId w:val="3"/>
  </w:num>
  <w:num w:numId="27">
    <w:abstractNumId w:val="6"/>
  </w:num>
  <w:num w:numId="28">
    <w:abstractNumId w:val="1"/>
  </w:num>
  <w:num w:numId="29">
    <w:abstractNumId w:val="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0A"/>
    <w:rsid w:val="00102994"/>
    <w:rsid w:val="0018559C"/>
    <w:rsid w:val="00192F69"/>
    <w:rsid w:val="001A44C1"/>
    <w:rsid w:val="001B1FD7"/>
    <w:rsid w:val="001C5403"/>
    <w:rsid w:val="00327C42"/>
    <w:rsid w:val="003C32E9"/>
    <w:rsid w:val="003C7D73"/>
    <w:rsid w:val="004A175F"/>
    <w:rsid w:val="00551AC3"/>
    <w:rsid w:val="0058383D"/>
    <w:rsid w:val="00650A5D"/>
    <w:rsid w:val="0068534E"/>
    <w:rsid w:val="00727A0A"/>
    <w:rsid w:val="00782419"/>
    <w:rsid w:val="00851E41"/>
    <w:rsid w:val="00852CE9"/>
    <w:rsid w:val="00903886"/>
    <w:rsid w:val="0097307F"/>
    <w:rsid w:val="00B358D3"/>
    <w:rsid w:val="00BD50DD"/>
    <w:rsid w:val="00BF15F3"/>
    <w:rsid w:val="00C2618B"/>
    <w:rsid w:val="00C34211"/>
    <w:rsid w:val="00D22406"/>
    <w:rsid w:val="00DB6D06"/>
    <w:rsid w:val="00DD76A9"/>
    <w:rsid w:val="00DF5235"/>
    <w:rsid w:val="00E72F72"/>
    <w:rsid w:val="00F26EF8"/>
    <w:rsid w:val="00F811DD"/>
    <w:rsid w:val="00F8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D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B1FD7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32"/>
      <w:lang w:val="x-none" w:bidi="sa-IN"/>
    </w:rPr>
  </w:style>
  <w:style w:type="paragraph" w:styleId="2">
    <w:name w:val="heading 2"/>
    <w:basedOn w:val="a"/>
    <w:next w:val="a"/>
    <w:link w:val="20"/>
    <w:uiPriority w:val="9"/>
    <w:unhideWhenUsed/>
    <w:qFormat/>
    <w:rsid w:val="001B1FD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FD7"/>
    <w:rPr>
      <w:rFonts w:ascii="Cambria" w:eastAsia="Times New Roman" w:hAnsi="Cambria" w:cs="Mangal"/>
      <w:b/>
      <w:bCs/>
      <w:kern w:val="32"/>
      <w:sz w:val="32"/>
      <w:szCs w:val="32"/>
      <w:lang w:val="x-none" w:bidi="sa-IN"/>
    </w:rPr>
  </w:style>
  <w:style w:type="character" w:customStyle="1" w:styleId="20">
    <w:name w:val="Заголовок 2 Знак"/>
    <w:basedOn w:val="a0"/>
    <w:link w:val="2"/>
    <w:uiPriority w:val="9"/>
    <w:rsid w:val="001B1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B1FD7"/>
    <w:pPr>
      <w:spacing w:after="0" w:line="240" w:lineRule="auto"/>
    </w:pPr>
    <w:rPr>
      <w:rFonts w:ascii="Tahoma" w:hAnsi="Tahoma" w:cs="Mangal"/>
      <w:sz w:val="16"/>
      <w:szCs w:val="16"/>
      <w:lang w:val="x-none" w:eastAsia="x-none" w:bidi="sa-IN"/>
    </w:rPr>
  </w:style>
  <w:style w:type="character" w:customStyle="1" w:styleId="a4">
    <w:name w:val="Текст выноски Знак"/>
    <w:basedOn w:val="a0"/>
    <w:link w:val="a3"/>
    <w:uiPriority w:val="99"/>
    <w:semiHidden/>
    <w:rsid w:val="001B1FD7"/>
    <w:rPr>
      <w:rFonts w:ascii="Tahoma" w:eastAsia="Calibri" w:hAnsi="Tahoma" w:cs="Mangal"/>
      <w:sz w:val="16"/>
      <w:szCs w:val="16"/>
      <w:lang w:val="x-none" w:eastAsia="x-none" w:bidi="sa-IN"/>
    </w:rPr>
  </w:style>
  <w:style w:type="paragraph" w:styleId="a5">
    <w:name w:val="footnote text"/>
    <w:basedOn w:val="a"/>
    <w:link w:val="a6"/>
    <w:semiHidden/>
    <w:rsid w:val="001B1FD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x-none" w:eastAsia="ru-RU" w:bidi="sa-IN"/>
    </w:rPr>
  </w:style>
  <w:style w:type="character" w:customStyle="1" w:styleId="a6">
    <w:name w:val="Текст сноски Знак"/>
    <w:basedOn w:val="a0"/>
    <w:link w:val="a5"/>
    <w:semiHidden/>
    <w:rsid w:val="001B1FD7"/>
    <w:rPr>
      <w:rFonts w:ascii="Times New Roman" w:eastAsia="Times New Roman" w:hAnsi="Times New Roman" w:cs="Mangal"/>
      <w:sz w:val="20"/>
      <w:szCs w:val="20"/>
      <w:lang w:val="x-none" w:eastAsia="ru-RU" w:bidi="sa-IN"/>
    </w:rPr>
  </w:style>
  <w:style w:type="character" w:styleId="a7">
    <w:name w:val="footnote reference"/>
    <w:semiHidden/>
    <w:rsid w:val="001B1FD7"/>
    <w:rPr>
      <w:vertAlign w:val="superscript"/>
    </w:rPr>
  </w:style>
  <w:style w:type="paragraph" w:styleId="a8">
    <w:name w:val="caption"/>
    <w:basedOn w:val="a"/>
    <w:next w:val="a"/>
    <w:uiPriority w:val="35"/>
    <w:qFormat/>
    <w:rsid w:val="001B1FD7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1B1FD7"/>
    <w:pPr>
      <w:spacing w:after="0" w:line="240" w:lineRule="auto"/>
    </w:pPr>
    <w:rPr>
      <w:rFonts w:ascii="Tahoma" w:hAnsi="Tahoma" w:cs="Mangal"/>
      <w:sz w:val="16"/>
      <w:szCs w:val="16"/>
      <w:lang w:val="x-none" w:eastAsia="x-none" w:bidi="sa-IN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B1FD7"/>
    <w:rPr>
      <w:rFonts w:ascii="Tahoma" w:eastAsia="Calibri" w:hAnsi="Tahoma" w:cs="Mangal"/>
      <w:sz w:val="16"/>
      <w:szCs w:val="16"/>
      <w:lang w:val="x-none" w:eastAsia="x-none" w:bidi="sa-IN"/>
    </w:rPr>
  </w:style>
  <w:style w:type="paragraph" w:styleId="ab">
    <w:name w:val="header"/>
    <w:basedOn w:val="a"/>
    <w:link w:val="ac"/>
    <w:uiPriority w:val="99"/>
    <w:unhideWhenUsed/>
    <w:rsid w:val="001B1FD7"/>
    <w:pPr>
      <w:tabs>
        <w:tab w:val="center" w:pos="4677"/>
        <w:tab w:val="right" w:pos="9355"/>
      </w:tabs>
      <w:spacing w:after="0" w:line="240" w:lineRule="auto"/>
    </w:pPr>
    <w:rPr>
      <w:rFonts w:cs="Mangal"/>
      <w:sz w:val="20"/>
      <w:szCs w:val="20"/>
      <w:lang w:val="x-none" w:eastAsia="x-none" w:bidi="sa-IN"/>
    </w:rPr>
  </w:style>
  <w:style w:type="character" w:customStyle="1" w:styleId="ac">
    <w:name w:val="Верхний колонтитул Знак"/>
    <w:basedOn w:val="a0"/>
    <w:link w:val="ab"/>
    <w:uiPriority w:val="99"/>
    <w:rsid w:val="001B1FD7"/>
    <w:rPr>
      <w:rFonts w:ascii="Calibri" w:eastAsia="Calibri" w:hAnsi="Calibri" w:cs="Mangal"/>
      <w:sz w:val="20"/>
      <w:szCs w:val="20"/>
      <w:lang w:val="x-none" w:eastAsia="x-none" w:bidi="sa-IN"/>
    </w:rPr>
  </w:style>
  <w:style w:type="paragraph" w:styleId="ad">
    <w:name w:val="footer"/>
    <w:basedOn w:val="a"/>
    <w:link w:val="ae"/>
    <w:uiPriority w:val="99"/>
    <w:unhideWhenUsed/>
    <w:rsid w:val="001B1FD7"/>
    <w:pPr>
      <w:tabs>
        <w:tab w:val="center" w:pos="4677"/>
        <w:tab w:val="right" w:pos="9355"/>
      </w:tabs>
      <w:spacing w:after="0" w:line="240" w:lineRule="auto"/>
    </w:pPr>
    <w:rPr>
      <w:rFonts w:cs="Mangal"/>
      <w:sz w:val="20"/>
      <w:szCs w:val="20"/>
      <w:lang w:val="x-none" w:eastAsia="x-none" w:bidi="sa-IN"/>
    </w:rPr>
  </w:style>
  <w:style w:type="character" w:customStyle="1" w:styleId="ae">
    <w:name w:val="Нижний колонтитул Знак"/>
    <w:basedOn w:val="a0"/>
    <w:link w:val="ad"/>
    <w:uiPriority w:val="99"/>
    <w:rsid w:val="001B1FD7"/>
    <w:rPr>
      <w:rFonts w:ascii="Calibri" w:eastAsia="Calibri" w:hAnsi="Calibri" w:cs="Mangal"/>
      <w:sz w:val="20"/>
      <w:szCs w:val="20"/>
      <w:lang w:val="x-none" w:eastAsia="x-none" w:bidi="sa-IN"/>
    </w:rPr>
  </w:style>
  <w:style w:type="paragraph" w:styleId="af">
    <w:name w:val="List Paragraph"/>
    <w:basedOn w:val="a"/>
    <w:uiPriority w:val="34"/>
    <w:qFormat/>
    <w:rsid w:val="001B1FD7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1B1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uiPriority w:val="99"/>
    <w:unhideWhenUsed/>
    <w:rsid w:val="001B1FD7"/>
    <w:rPr>
      <w:color w:val="0000FF"/>
      <w:u w:val="single"/>
    </w:rPr>
  </w:style>
  <w:style w:type="table" w:styleId="af2">
    <w:name w:val="Table Grid"/>
    <w:basedOn w:val="a1"/>
    <w:uiPriority w:val="59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uiPriority w:val="99"/>
    <w:semiHidden/>
    <w:unhideWhenUsed/>
    <w:rsid w:val="001B1FD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B1FD7"/>
    <w:pPr>
      <w:spacing w:line="240" w:lineRule="auto"/>
    </w:pPr>
    <w:rPr>
      <w:rFonts w:cs="Mangal"/>
      <w:sz w:val="20"/>
      <w:szCs w:val="20"/>
      <w:lang w:val="x-none" w:eastAsia="x-none" w:bidi="sa-IN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B1FD7"/>
    <w:rPr>
      <w:rFonts w:ascii="Calibri" w:eastAsia="Calibri" w:hAnsi="Calibri" w:cs="Mangal"/>
      <w:sz w:val="20"/>
      <w:szCs w:val="20"/>
      <w:lang w:val="x-none" w:eastAsia="x-none" w:bidi="sa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FD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B1FD7"/>
    <w:rPr>
      <w:rFonts w:ascii="Calibri" w:eastAsia="Calibri" w:hAnsi="Calibri" w:cs="Mangal"/>
      <w:b/>
      <w:bCs/>
      <w:sz w:val="20"/>
      <w:szCs w:val="20"/>
      <w:lang w:val="x-none" w:eastAsia="x-none" w:bidi="sa-IN"/>
    </w:rPr>
  </w:style>
  <w:style w:type="paragraph" w:styleId="af8">
    <w:name w:val="Revision"/>
    <w:hidden/>
    <w:uiPriority w:val="99"/>
    <w:semiHidden/>
    <w:rsid w:val="001B1FD7"/>
    <w:pPr>
      <w:spacing w:after="0" w:line="240" w:lineRule="auto"/>
    </w:pPr>
    <w:rPr>
      <w:rFonts w:ascii="Calibri" w:eastAsia="Calibri" w:hAnsi="Calibri" w:cs="Times New Roman"/>
    </w:rPr>
  </w:style>
  <w:style w:type="character" w:styleId="af9">
    <w:name w:val="Strong"/>
    <w:uiPriority w:val="22"/>
    <w:qFormat/>
    <w:rsid w:val="001B1FD7"/>
    <w:rPr>
      <w:b/>
      <w:bCs/>
    </w:rPr>
  </w:style>
  <w:style w:type="character" w:customStyle="1" w:styleId="afa">
    <w:name w:val="Текст концевой сноски Знак"/>
    <w:link w:val="afb"/>
    <w:uiPriority w:val="99"/>
    <w:semiHidden/>
    <w:rsid w:val="001B1FD7"/>
  </w:style>
  <w:style w:type="paragraph" w:styleId="afb">
    <w:name w:val="endnote text"/>
    <w:basedOn w:val="a"/>
    <w:link w:val="afa"/>
    <w:uiPriority w:val="99"/>
    <w:semiHidden/>
    <w:unhideWhenUsed/>
    <w:rsid w:val="001B1FD7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1">
    <w:name w:val="Текст концевой сноски Знак1"/>
    <w:basedOn w:val="a0"/>
    <w:uiPriority w:val="99"/>
    <w:semiHidden/>
    <w:rsid w:val="001B1FD7"/>
    <w:rPr>
      <w:rFonts w:ascii="Calibri" w:eastAsia="Calibri" w:hAnsi="Calibri" w:cs="Times New Roman"/>
      <w:sz w:val="20"/>
      <w:szCs w:val="20"/>
    </w:rPr>
  </w:style>
  <w:style w:type="paragraph" w:styleId="afc">
    <w:name w:val="No Spacing"/>
    <w:link w:val="afd"/>
    <w:uiPriority w:val="1"/>
    <w:qFormat/>
    <w:rsid w:val="001B1FD7"/>
    <w:pPr>
      <w:spacing w:after="0" w:line="240" w:lineRule="auto"/>
    </w:pPr>
    <w:rPr>
      <w:rFonts w:ascii="Calibri" w:eastAsia="Calibri" w:hAnsi="Calibri" w:cs="Times New Roman"/>
    </w:rPr>
  </w:style>
  <w:style w:type="character" w:styleId="afe">
    <w:name w:val="endnote reference"/>
    <w:uiPriority w:val="99"/>
    <w:semiHidden/>
    <w:unhideWhenUsed/>
    <w:rsid w:val="001B1FD7"/>
    <w:rPr>
      <w:vertAlign w:val="superscript"/>
    </w:rPr>
  </w:style>
  <w:style w:type="table" w:customStyle="1" w:styleId="12">
    <w:name w:val="Светлая заливка1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-3">
    <w:name w:val="Medium Grid 1 Accent 3"/>
    <w:basedOn w:val="a1"/>
    <w:uiPriority w:val="67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Colorful Grid Accent 3"/>
    <w:basedOn w:val="a1"/>
    <w:uiPriority w:val="73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-3">
    <w:name w:val="Medium Shading 2 Accent 3"/>
    <w:basedOn w:val="a1"/>
    <w:uiPriority w:val="64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List 2 Accent 6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2">
    <w:name w:val="Light Shading Accent 2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List 1 Accent 2"/>
    <w:basedOn w:val="a1"/>
    <w:uiPriority w:val="65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character" w:customStyle="1" w:styleId="s1">
    <w:name w:val="s1"/>
    <w:rsid w:val="001B1FD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0">
    <w:name w:val="s0"/>
    <w:rsid w:val="001B1FD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table" w:styleId="1-30">
    <w:name w:val="Medium Shading 1 Accent 3"/>
    <w:basedOn w:val="a1"/>
    <w:uiPriority w:val="63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List 1 Accent 6"/>
    <w:basedOn w:val="a1"/>
    <w:uiPriority w:val="65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60">
    <w:name w:val="Medium Grid 1 Accent 6"/>
    <w:basedOn w:val="a1"/>
    <w:uiPriority w:val="67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4">
    <w:name w:val="Medium Grid 1 Accent 4"/>
    <w:basedOn w:val="a1"/>
    <w:uiPriority w:val="67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11">
    <w:name w:val="Средний список 1 - Акцент 11"/>
    <w:basedOn w:val="a1"/>
    <w:uiPriority w:val="65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-11">
    <w:name w:val="Светлая заливка - Акцент 11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Light Shading Accent 5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ff">
    <w:name w:val="Emphasis"/>
    <w:uiPriority w:val="20"/>
    <w:qFormat/>
    <w:rsid w:val="001B1FD7"/>
    <w:rPr>
      <w:i/>
      <w:iCs/>
    </w:rPr>
  </w:style>
  <w:style w:type="character" w:customStyle="1" w:styleId="apple-converted-space">
    <w:name w:val="apple-converted-space"/>
    <w:rsid w:val="001B1FD7"/>
  </w:style>
  <w:style w:type="character" w:styleId="aff0">
    <w:name w:val="FollowedHyperlink"/>
    <w:uiPriority w:val="99"/>
    <w:semiHidden/>
    <w:unhideWhenUsed/>
    <w:rsid w:val="001B1FD7"/>
    <w:rPr>
      <w:color w:val="800080"/>
      <w:u w:val="single"/>
    </w:rPr>
  </w:style>
  <w:style w:type="table" w:customStyle="1" w:styleId="-12">
    <w:name w:val="Светлая заливка - Акцент 12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ая сетка - Акцент 11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0">
    <w:name w:val="Light Grid Accent 2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0">
    <w:name w:val="Light Grid Accent 3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21">
    <w:name w:val="Средний список 21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-60">
    <w:name w:val="Medium Shading 2 Accent 6"/>
    <w:basedOn w:val="a1"/>
    <w:uiPriority w:val="64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1">
    <w:name w:val="Medium Shading 1 Accent 6"/>
    <w:basedOn w:val="a1"/>
    <w:uiPriority w:val="63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0">
    <w:name w:val="Light Grid Accent 6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4">
    <w:name w:val="Light Grid Accent 4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2-4">
    <w:name w:val="Medium Shading 2 Accent 4"/>
    <w:basedOn w:val="a1"/>
    <w:uiPriority w:val="64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Shading 1 Accent 4"/>
    <w:basedOn w:val="a1"/>
    <w:uiPriority w:val="63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0">
    <w:name w:val="Light List Accent 4"/>
    <w:basedOn w:val="a1"/>
    <w:uiPriority w:val="61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-40">
    <w:name w:val="Medium List 2 Accent 4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Light Grid Accent 5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2-1">
    <w:name w:val="Medium List 2 Accent 1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1">
    <w:name w:val="Medium Grid 2 Accent 4"/>
    <w:basedOn w:val="a1"/>
    <w:uiPriority w:val="68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10">
    <w:name w:val="Medium Grid 2 Accent 1"/>
    <w:basedOn w:val="a1"/>
    <w:uiPriority w:val="68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-41">
    <w:name w:val="Light Shading Accent 4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f1">
    <w:name w:val="Subtitle"/>
    <w:basedOn w:val="a"/>
    <w:next w:val="a"/>
    <w:link w:val="aff2"/>
    <w:uiPriority w:val="11"/>
    <w:qFormat/>
    <w:rsid w:val="001B1FD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11"/>
    <w:rsid w:val="001B1FD7"/>
    <w:rPr>
      <w:rFonts w:ascii="Cambria" w:eastAsia="Times New Roman" w:hAnsi="Cambria" w:cs="Times New Roman"/>
      <w:sz w:val="24"/>
      <w:szCs w:val="24"/>
    </w:rPr>
  </w:style>
  <w:style w:type="paragraph" w:styleId="aff3">
    <w:name w:val="TOC Heading"/>
    <w:basedOn w:val="1"/>
    <w:next w:val="a"/>
    <w:uiPriority w:val="39"/>
    <w:unhideWhenUsed/>
    <w:qFormat/>
    <w:rsid w:val="001B1FD7"/>
    <w:pPr>
      <w:keepLines/>
      <w:spacing w:before="480" w:after="0"/>
      <w:outlineLvl w:val="9"/>
    </w:pPr>
    <w:rPr>
      <w:rFonts w:cs="Times New Roman"/>
      <w:color w:val="365F91"/>
      <w:kern w:val="0"/>
      <w:sz w:val="28"/>
      <w:szCs w:val="28"/>
      <w:lang w:val="ru-RU"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1B1FD7"/>
  </w:style>
  <w:style w:type="paragraph" w:styleId="22">
    <w:name w:val="toc 2"/>
    <w:basedOn w:val="a"/>
    <w:next w:val="a"/>
    <w:autoRedefine/>
    <w:uiPriority w:val="39"/>
    <w:unhideWhenUsed/>
    <w:rsid w:val="001B1FD7"/>
    <w:pPr>
      <w:ind w:left="220"/>
    </w:pPr>
  </w:style>
  <w:style w:type="character" w:customStyle="1" w:styleId="afd">
    <w:name w:val="Без интервала Знак"/>
    <w:link w:val="afc"/>
    <w:uiPriority w:val="1"/>
    <w:rsid w:val="001B1FD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D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B1FD7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32"/>
      <w:lang w:val="x-none" w:bidi="sa-IN"/>
    </w:rPr>
  </w:style>
  <w:style w:type="paragraph" w:styleId="2">
    <w:name w:val="heading 2"/>
    <w:basedOn w:val="a"/>
    <w:next w:val="a"/>
    <w:link w:val="20"/>
    <w:uiPriority w:val="9"/>
    <w:unhideWhenUsed/>
    <w:qFormat/>
    <w:rsid w:val="001B1FD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FD7"/>
    <w:rPr>
      <w:rFonts w:ascii="Cambria" w:eastAsia="Times New Roman" w:hAnsi="Cambria" w:cs="Mangal"/>
      <w:b/>
      <w:bCs/>
      <w:kern w:val="32"/>
      <w:sz w:val="32"/>
      <w:szCs w:val="32"/>
      <w:lang w:val="x-none" w:bidi="sa-IN"/>
    </w:rPr>
  </w:style>
  <w:style w:type="character" w:customStyle="1" w:styleId="20">
    <w:name w:val="Заголовок 2 Знак"/>
    <w:basedOn w:val="a0"/>
    <w:link w:val="2"/>
    <w:uiPriority w:val="9"/>
    <w:rsid w:val="001B1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B1FD7"/>
    <w:pPr>
      <w:spacing w:after="0" w:line="240" w:lineRule="auto"/>
    </w:pPr>
    <w:rPr>
      <w:rFonts w:ascii="Tahoma" w:hAnsi="Tahoma" w:cs="Mangal"/>
      <w:sz w:val="16"/>
      <w:szCs w:val="16"/>
      <w:lang w:val="x-none" w:eastAsia="x-none" w:bidi="sa-IN"/>
    </w:rPr>
  </w:style>
  <w:style w:type="character" w:customStyle="1" w:styleId="a4">
    <w:name w:val="Текст выноски Знак"/>
    <w:basedOn w:val="a0"/>
    <w:link w:val="a3"/>
    <w:uiPriority w:val="99"/>
    <w:semiHidden/>
    <w:rsid w:val="001B1FD7"/>
    <w:rPr>
      <w:rFonts w:ascii="Tahoma" w:eastAsia="Calibri" w:hAnsi="Tahoma" w:cs="Mangal"/>
      <w:sz w:val="16"/>
      <w:szCs w:val="16"/>
      <w:lang w:val="x-none" w:eastAsia="x-none" w:bidi="sa-IN"/>
    </w:rPr>
  </w:style>
  <w:style w:type="paragraph" w:styleId="a5">
    <w:name w:val="footnote text"/>
    <w:basedOn w:val="a"/>
    <w:link w:val="a6"/>
    <w:semiHidden/>
    <w:rsid w:val="001B1FD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x-none" w:eastAsia="ru-RU" w:bidi="sa-IN"/>
    </w:rPr>
  </w:style>
  <w:style w:type="character" w:customStyle="1" w:styleId="a6">
    <w:name w:val="Текст сноски Знак"/>
    <w:basedOn w:val="a0"/>
    <w:link w:val="a5"/>
    <w:semiHidden/>
    <w:rsid w:val="001B1FD7"/>
    <w:rPr>
      <w:rFonts w:ascii="Times New Roman" w:eastAsia="Times New Roman" w:hAnsi="Times New Roman" w:cs="Mangal"/>
      <w:sz w:val="20"/>
      <w:szCs w:val="20"/>
      <w:lang w:val="x-none" w:eastAsia="ru-RU" w:bidi="sa-IN"/>
    </w:rPr>
  </w:style>
  <w:style w:type="character" w:styleId="a7">
    <w:name w:val="footnote reference"/>
    <w:semiHidden/>
    <w:rsid w:val="001B1FD7"/>
    <w:rPr>
      <w:vertAlign w:val="superscript"/>
    </w:rPr>
  </w:style>
  <w:style w:type="paragraph" w:styleId="a8">
    <w:name w:val="caption"/>
    <w:basedOn w:val="a"/>
    <w:next w:val="a"/>
    <w:uiPriority w:val="35"/>
    <w:qFormat/>
    <w:rsid w:val="001B1FD7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1B1FD7"/>
    <w:pPr>
      <w:spacing w:after="0" w:line="240" w:lineRule="auto"/>
    </w:pPr>
    <w:rPr>
      <w:rFonts w:ascii="Tahoma" w:hAnsi="Tahoma" w:cs="Mangal"/>
      <w:sz w:val="16"/>
      <w:szCs w:val="16"/>
      <w:lang w:val="x-none" w:eastAsia="x-none" w:bidi="sa-IN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B1FD7"/>
    <w:rPr>
      <w:rFonts w:ascii="Tahoma" w:eastAsia="Calibri" w:hAnsi="Tahoma" w:cs="Mangal"/>
      <w:sz w:val="16"/>
      <w:szCs w:val="16"/>
      <w:lang w:val="x-none" w:eastAsia="x-none" w:bidi="sa-IN"/>
    </w:rPr>
  </w:style>
  <w:style w:type="paragraph" w:styleId="ab">
    <w:name w:val="header"/>
    <w:basedOn w:val="a"/>
    <w:link w:val="ac"/>
    <w:uiPriority w:val="99"/>
    <w:unhideWhenUsed/>
    <w:rsid w:val="001B1FD7"/>
    <w:pPr>
      <w:tabs>
        <w:tab w:val="center" w:pos="4677"/>
        <w:tab w:val="right" w:pos="9355"/>
      </w:tabs>
      <w:spacing w:after="0" w:line="240" w:lineRule="auto"/>
    </w:pPr>
    <w:rPr>
      <w:rFonts w:cs="Mangal"/>
      <w:sz w:val="20"/>
      <w:szCs w:val="20"/>
      <w:lang w:val="x-none" w:eastAsia="x-none" w:bidi="sa-IN"/>
    </w:rPr>
  </w:style>
  <w:style w:type="character" w:customStyle="1" w:styleId="ac">
    <w:name w:val="Верхний колонтитул Знак"/>
    <w:basedOn w:val="a0"/>
    <w:link w:val="ab"/>
    <w:uiPriority w:val="99"/>
    <w:rsid w:val="001B1FD7"/>
    <w:rPr>
      <w:rFonts w:ascii="Calibri" w:eastAsia="Calibri" w:hAnsi="Calibri" w:cs="Mangal"/>
      <w:sz w:val="20"/>
      <w:szCs w:val="20"/>
      <w:lang w:val="x-none" w:eastAsia="x-none" w:bidi="sa-IN"/>
    </w:rPr>
  </w:style>
  <w:style w:type="paragraph" w:styleId="ad">
    <w:name w:val="footer"/>
    <w:basedOn w:val="a"/>
    <w:link w:val="ae"/>
    <w:uiPriority w:val="99"/>
    <w:unhideWhenUsed/>
    <w:rsid w:val="001B1FD7"/>
    <w:pPr>
      <w:tabs>
        <w:tab w:val="center" w:pos="4677"/>
        <w:tab w:val="right" w:pos="9355"/>
      </w:tabs>
      <w:spacing w:after="0" w:line="240" w:lineRule="auto"/>
    </w:pPr>
    <w:rPr>
      <w:rFonts w:cs="Mangal"/>
      <w:sz w:val="20"/>
      <w:szCs w:val="20"/>
      <w:lang w:val="x-none" w:eastAsia="x-none" w:bidi="sa-IN"/>
    </w:rPr>
  </w:style>
  <w:style w:type="character" w:customStyle="1" w:styleId="ae">
    <w:name w:val="Нижний колонтитул Знак"/>
    <w:basedOn w:val="a0"/>
    <w:link w:val="ad"/>
    <w:uiPriority w:val="99"/>
    <w:rsid w:val="001B1FD7"/>
    <w:rPr>
      <w:rFonts w:ascii="Calibri" w:eastAsia="Calibri" w:hAnsi="Calibri" w:cs="Mangal"/>
      <w:sz w:val="20"/>
      <w:szCs w:val="20"/>
      <w:lang w:val="x-none" w:eastAsia="x-none" w:bidi="sa-IN"/>
    </w:rPr>
  </w:style>
  <w:style w:type="paragraph" w:styleId="af">
    <w:name w:val="List Paragraph"/>
    <w:basedOn w:val="a"/>
    <w:uiPriority w:val="34"/>
    <w:qFormat/>
    <w:rsid w:val="001B1FD7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1B1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uiPriority w:val="99"/>
    <w:unhideWhenUsed/>
    <w:rsid w:val="001B1FD7"/>
    <w:rPr>
      <w:color w:val="0000FF"/>
      <w:u w:val="single"/>
    </w:rPr>
  </w:style>
  <w:style w:type="table" w:styleId="af2">
    <w:name w:val="Table Grid"/>
    <w:basedOn w:val="a1"/>
    <w:uiPriority w:val="59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uiPriority w:val="99"/>
    <w:semiHidden/>
    <w:unhideWhenUsed/>
    <w:rsid w:val="001B1FD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B1FD7"/>
    <w:pPr>
      <w:spacing w:line="240" w:lineRule="auto"/>
    </w:pPr>
    <w:rPr>
      <w:rFonts w:cs="Mangal"/>
      <w:sz w:val="20"/>
      <w:szCs w:val="20"/>
      <w:lang w:val="x-none" w:eastAsia="x-none" w:bidi="sa-IN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B1FD7"/>
    <w:rPr>
      <w:rFonts w:ascii="Calibri" w:eastAsia="Calibri" w:hAnsi="Calibri" w:cs="Mangal"/>
      <w:sz w:val="20"/>
      <w:szCs w:val="20"/>
      <w:lang w:val="x-none" w:eastAsia="x-none" w:bidi="sa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FD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B1FD7"/>
    <w:rPr>
      <w:rFonts w:ascii="Calibri" w:eastAsia="Calibri" w:hAnsi="Calibri" w:cs="Mangal"/>
      <w:b/>
      <w:bCs/>
      <w:sz w:val="20"/>
      <w:szCs w:val="20"/>
      <w:lang w:val="x-none" w:eastAsia="x-none" w:bidi="sa-IN"/>
    </w:rPr>
  </w:style>
  <w:style w:type="paragraph" w:styleId="af8">
    <w:name w:val="Revision"/>
    <w:hidden/>
    <w:uiPriority w:val="99"/>
    <w:semiHidden/>
    <w:rsid w:val="001B1FD7"/>
    <w:pPr>
      <w:spacing w:after="0" w:line="240" w:lineRule="auto"/>
    </w:pPr>
    <w:rPr>
      <w:rFonts w:ascii="Calibri" w:eastAsia="Calibri" w:hAnsi="Calibri" w:cs="Times New Roman"/>
    </w:rPr>
  </w:style>
  <w:style w:type="character" w:styleId="af9">
    <w:name w:val="Strong"/>
    <w:uiPriority w:val="22"/>
    <w:qFormat/>
    <w:rsid w:val="001B1FD7"/>
    <w:rPr>
      <w:b/>
      <w:bCs/>
    </w:rPr>
  </w:style>
  <w:style w:type="character" w:customStyle="1" w:styleId="afa">
    <w:name w:val="Текст концевой сноски Знак"/>
    <w:link w:val="afb"/>
    <w:uiPriority w:val="99"/>
    <w:semiHidden/>
    <w:rsid w:val="001B1FD7"/>
  </w:style>
  <w:style w:type="paragraph" w:styleId="afb">
    <w:name w:val="endnote text"/>
    <w:basedOn w:val="a"/>
    <w:link w:val="afa"/>
    <w:uiPriority w:val="99"/>
    <w:semiHidden/>
    <w:unhideWhenUsed/>
    <w:rsid w:val="001B1FD7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1">
    <w:name w:val="Текст концевой сноски Знак1"/>
    <w:basedOn w:val="a0"/>
    <w:uiPriority w:val="99"/>
    <w:semiHidden/>
    <w:rsid w:val="001B1FD7"/>
    <w:rPr>
      <w:rFonts w:ascii="Calibri" w:eastAsia="Calibri" w:hAnsi="Calibri" w:cs="Times New Roman"/>
      <w:sz w:val="20"/>
      <w:szCs w:val="20"/>
    </w:rPr>
  </w:style>
  <w:style w:type="paragraph" w:styleId="afc">
    <w:name w:val="No Spacing"/>
    <w:link w:val="afd"/>
    <w:uiPriority w:val="1"/>
    <w:qFormat/>
    <w:rsid w:val="001B1FD7"/>
    <w:pPr>
      <w:spacing w:after="0" w:line="240" w:lineRule="auto"/>
    </w:pPr>
    <w:rPr>
      <w:rFonts w:ascii="Calibri" w:eastAsia="Calibri" w:hAnsi="Calibri" w:cs="Times New Roman"/>
    </w:rPr>
  </w:style>
  <w:style w:type="character" w:styleId="afe">
    <w:name w:val="endnote reference"/>
    <w:uiPriority w:val="99"/>
    <w:semiHidden/>
    <w:unhideWhenUsed/>
    <w:rsid w:val="001B1FD7"/>
    <w:rPr>
      <w:vertAlign w:val="superscript"/>
    </w:rPr>
  </w:style>
  <w:style w:type="table" w:customStyle="1" w:styleId="12">
    <w:name w:val="Светлая заливка1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-3">
    <w:name w:val="Medium Grid 1 Accent 3"/>
    <w:basedOn w:val="a1"/>
    <w:uiPriority w:val="67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Colorful Grid Accent 3"/>
    <w:basedOn w:val="a1"/>
    <w:uiPriority w:val="73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-3">
    <w:name w:val="Medium Shading 2 Accent 3"/>
    <w:basedOn w:val="a1"/>
    <w:uiPriority w:val="64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List 2 Accent 6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2">
    <w:name w:val="Light Shading Accent 2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List 1 Accent 2"/>
    <w:basedOn w:val="a1"/>
    <w:uiPriority w:val="65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character" w:customStyle="1" w:styleId="s1">
    <w:name w:val="s1"/>
    <w:rsid w:val="001B1FD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0">
    <w:name w:val="s0"/>
    <w:rsid w:val="001B1FD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table" w:styleId="1-30">
    <w:name w:val="Medium Shading 1 Accent 3"/>
    <w:basedOn w:val="a1"/>
    <w:uiPriority w:val="63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List 1 Accent 6"/>
    <w:basedOn w:val="a1"/>
    <w:uiPriority w:val="65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60">
    <w:name w:val="Medium Grid 1 Accent 6"/>
    <w:basedOn w:val="a1"/>
    <w:uiPriority w:val="67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4">
    <w:name w:val="Medium Grid 1 Accent 4"/>
    <w:basedOn w:val="a1"/>
    <w:uiPriority w:val="67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11">
    <w:name w:val="Средний список 1 - Акцент 11"/>
    <w:basedOn w:val="a1"/>
    <w:uiPriority w:val="65"/>
    <w:rsid w:val="001B1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-11">
    <w:name w:val="Светлая заливка - Акцент 11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Light Shading Accent 5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ff">
    <w:name w:val="Emphasis"/>
    <w:uiPriority w:val="20"/>
    <w:qFormat/>
    <w:rsid w:val="001B1FD7"/>
    <w:rPr>
      <w:i/>
      <w:iCs/>
    </w:rPr>
  </w:style>
  <w:style w:type="character" w:customStyle="1" w:styleId="apple-converted-space">
    <w:name w:val="apple-converted-space"/>
    <w:rsid w:val="001B1FD7"/>
  </w:style>
  <w:style w:type="character" w:styleId="aff0">
    <w:name w:val="FollowedHyperlink"/>
    <w:uiPriority w:val="99"/>
    <w:semiHidden/>
    <w:unhideWhenUsed/>
    <w:rsid w:val="001B1FD7"/>
    <w:rPr>
      <w:color w:val="800080"/>
      <w:u w:val="single"/>
    </w:rPr>
  </w:style>
  <w:style w:type="table" w:customStyle="1" w:styleId="-12">
    <w:name w:val="Светлая заливка - Акцент 12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ая сетка - Акцент 11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0">
    <w:name w:val="Light Grid Accent 2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0">
    <w:name w:val="Light Grid Accent 3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21">
    <w:name w:val="Средний список 21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-60">
    <w:name w:val="Medium Shading 2 Accent 6"/>
    <w:basedOn w:val="a1"/>
    <w:uiPriority w:val="64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1">
    <w:name w:val="Medium Shading 1 Accent 6"/>
    <w:basedOn w:val="a1"/>
    <w:uiPriority w:val="63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0">
    <w:name w:val="Light Grid Accent 6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4">
    <w:name w:val="Light Grid Accent 4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2-4">
    <w:name w:val="Medium Shading 2 Accent 4"/>
    <w:basedOn w:val="a1"/>
    <w:uiPriority w:val="64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Shading 1 Accent 4"/>
    <w:basedOn w:val="a1"/>
    <w:uiPriority w:val="63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0">
    <w:name w:val="Light List Accent 4"/>
    <w:basedOn w:val="a1"/>
    <w:uiPriority w:val="61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-40">
    <w:name w:val="Medium List 2 Accent 4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Light Grid Accent 5"/>
    <w:basedOn w:val="a1"/>
    <w:uiPriority w:val="62"/>
    <w:rsid w:val="001B1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2-1">
    <w:name w:val="Medium List 2 Accent 1"/>
    <w:basedOn w:val="a1"/>
    <w:uiPriority w:val="66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1">
    <w:name w:val="Medium Grid 2 Accent 4"/>
    <w:basedOn w:val="a1"/>
    <w:uiPriority w:val="68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10">
    <w:name w:val="Medium Grid 2 Accent 1"/>
    <w:basedOn w:val="a1"/>
    <w:uiPriority w:val="68"/>
    <w:rsid w:val="001B1FD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-41">
    <w:name w:val="Light Shading Accent 4"/>
    <w:basedOn w:val="a1"/>
    <w:uiPriority w:val="60"/>
    <w:rsid w:val="001B1FD7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f1">
    <w:name w:val="Subtitle"/>
    <w:basedOn w:val="a"/>
    <w:next w:val="a"/>
    <w:link w:val="aff2"/>
    <w:uiPriority w:val="11"/>
    <w:qFormat/>
    <w:rsid w:val="001B1FD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11"/>
    <w:rsid w:val="001B1FD7"/>
    <w:rPr>
      <w:rFonts w:ascii="Cambria" w:eastAsia="Times New Roman" w:hAnsi="Cambria" w:cs="Times New Roman"/>
      <w:sz w:val="24"/>
      <w:szCs w:val="24"/>
    </w:rPr>
  </w:style>
  <w:style w:type="paragraph" w:styleId="aff3">
    <w:name w:val="TOC Heading"/>
    <w:basedOn w:val="1"/>
    <w:next w:val="a"/>
    <w:uiPriority w:val="39"/>
    <w:unhideWhenUsed/>
    <w:qFormat/>
    <w:rsid w:val="001B1FD7"/>
    <w:pPr>
      <w:keepLines/>
      <w:spacing w:before="480" w:after="0"/>
      <w:outlineLvl w:val="9"/>
    </w:pPr>
    <w:rPr>
      <w:rFonts w:cs="Times New Roman"/>
      <w:color w:val="365F91"/>
      <w:kern w:val="0"/>
      <w:sz w:val="28"/>
      <w:szCs w:val="28"/>
      <w:lang w:val="ru-RU"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1B1FD7"/>
  </w:style>
  <w:style w:type="paragraph" w:styleId="22">
    <w:name w:val="toc 2"/>
    <w:basedOn w:val="a"/>
    <w:next w:val="a"/>
    <w:autoRedefine/>
    <w:uiPriority w:val="39"/>
    <w:unhideWhenUsed/>
    <w:rsid w:val="001B1FD7"/>
    <w:pPr>
      <w:ind w:left="220"/>
    </w:pPr>
  </w:style>
  <w:style w:type="character" w:customStyle="1" w:styleId="afd">
    <w:name w:val="Без интервала Знак"/>
    <w:link w:val="afc"/>
    <w:uiPriority w:val="1"/>
    <w:rsid w:val="001B1F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Bakhytgul_&#1088;&#1072;&#1073;&#1086;&#1095;&#1072;&#1103;%20&#1087;&#1072;&#1087;&#1082;&#1072;\Bakhytgul_new\&#1040;&#1085;&#1072;&#1083;&#1080;&#1090;&#1080;&#1082;&#1072;\2015\1%20&#1082;&#1074;&#1072;&#1088;&#1090;&#1072;&#1083;%202015\&#1064;&#1099;&#1085;&#1072;&#1088;\&#1075;&#1088;&#1072;&#1092;&#1080;&#1082;_&#1080;&#1079;&#1084;%20&#1076;&#1077;&#1087;.%20&#1087;&#1086;%20&#1074;&#1072;&#1083;&#1102;&#1090;&#1072;&#1084;%202013-2014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Bakhytgul_&#1088;&#1072;&#1073;&#1086;&#1095;&#1072;&#1103;%20&#1087;&#1072;&#1087;&#1082;&#1072;\Bakhytgul_new\&#1040;&#1085;&#1072;&#1083;&#1080;&#1090;&#1080;&#1082;&#1072;\2015\1%20&#1082;&#1074;&#1072;&#1088;&#1090;&#1072;&#1083;%202015\&#1064;&#1099;&#1085;&#1072;&#1088;\&#1075;&#1088;&#1072;&#1092;&#1080;&#1082;_&#1080;&#1079;&#1084;%20&#1076;&#1077;&#1087;.%20&#1087;&#1086;%20&#1074;&#1072;&#1083;&#1102;&#1090;&#1072;&#1084;%202013-2014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Bakhytgul_&#1088;&#1072;&#1073;&#1086;&#1095;&#1072;&#1103;%20&#1087;&#1072;&#1087;&#1082;&#1072;\Bakhytgul_new\&#1040;&#1085;&#1072;&#1083;&#1080;&#1090;&#1080;&#1082;&#1072;\2015\1%20&#1082;&#1074;&#1072;&#1088;&#1090;&#1072;&#1083;%202015\&#1064;&#1099;&#1085;&#1072;&#1088;\&#1085;&#1072;%201%20&#1072;&#1087;&#1088;&#1077;&#1083;&#1103;%202015&#1075;.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696281714785652"/>
          <c:y val="5.0925925925925923E-2"/>
          <c:w val="0.7991482939632546"/>
          <c:h val="0.764423665791776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Лист1!$C$7</c:f>
              <c:strCache>
                <c:ptCount val="1"/>
                <c:pt idx="0">
                  <c:v>тенге</c:v>
                </c:pt>
              </c:strCache>
            </c:strRef>
          </c:tx>
          <c:spPr>
            <a:solidFill>
              <a:srgbClr val="E12405"/>
            </a:solidFill>
          </c:spPr>
          <c:invertIfNegative val="0"/>
          <c:dLbls>
            <c:dLbl>
              <c:idx val="0"/>
              <c:layout>
                <c:manualLayout>
                  <c:x val="5.5555555555555558E-3"/>
                  <c:y val="-9.25962379702537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5833333333333333"/>
                  <c:y val="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331146106736653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5555555555555558E-3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7777777777777779E-3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Лист1!$D$6:$I$6</c:f>
              <c:numCache>
                <c:formatCode>m/d/yyyy</c:formatCode>
                <c:ptCount val="6"/>
                <c:pt idx="0">
                  <c:v>41640</c:v>
                </c:pt>
                <c:pt idx="1">
                  <c:v>41730</c:v>
                </c:pt>
                <c:pt idx="2">
                  <c:v>41821</c:v>
                </c:pt>
                <c:pt idx="3">
                  <c:v>41913</c:v>
                </c:pt>
                <c:pt idx="4">
                  <c:v>42005</c:v>
                </c:pt>
                <c:pt idx="5">
                  <c:v>42095</c:v>
                </c:pt>
              </c:numCache>
            </c:numRef>
          </c:cat>
          <c:val>
            <c:numRef>
              <c:f>Лист1!$D$7:$I$7</c:f>
              <c:numCache>
                <c:formatCode>_-* #,##0_-;\-* #,##0_-;_-* "-"??_-;_-@_-</c:formatCode>
                <c:ptCount val="6"/>
                <c:pt idx="0">
                  <c:v>2208.1063730000001</c:v>
                </c:pt>
                <c:pt idx="1">
                  <c:v>1883.6155000000001</c:v>
                </c:pt>
                <c:pt idx="2">
                  <c:v>2026.810401</c:v>
                </c:pt>
                <c:pt idx="3">
                  <c:v>1960.77684</c:v>
                </c:pt>
                <c:pt idx="4">
                  <c:v>1442.8637180999999</c:v>
                </c:pt>
                <c:pt idx="5">
                  <c:v>1395.377575</c:v>
                </c:pt>
              </c:numCache>
            </c:numRef>
          </c:val>
        </c:ser>
        <c:ser>
          <c:idx val="1"/>
          <c:order val="1"/>
          <c:tx>
            <c:strRef>
              <c:f>Лист1!$C$8</c:f>
              <c:strCache>
                <c:ptCount val="1"/>
                <c:pt idx="0">
                  <c:v>ин. валюта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Лист1!$D$6:$I$6</c:f>
              <c:numCache>
                <c:formatCode>m/d/yyyy</c:formatCode>
                <c:ptCount val="6"/>
                <c:pt idx="0">
                  <c:v>41640</c:v>
                </c:pt>
                <c:pt idx="1">
                  <c:v>41730</c:v>
                </c:pt>
                <c:pt idx="2">
                  <c:v>41821</c:v>
                </c:pt>
                <c:pt idx="3">
                  <c:v>41913</c:v>
                </c:pt>
                <c:pt idx="4">
                  <c:v>42005</c:v>
                </c:pt>
                <c:pt idx="5">
                  <c:v>42095</c:v>
                </c:pt>
              </c:numCache>
            </c:numRef>
          </c:cat>
          <c:val>
            <c:numRef>
              <c:f>Лист1!$D$8:$I$8</c:f>
              <c:numCache>
                <c:formatCode>_-* #,##0_-;\-* #,##0_-;_-* "-"??_-;_-@_-</c:formatCode>
                <c:ptCount val="6"/>
                <c:pt idx="0">
                  <c:v>1737.3991619999999</c:v>
                </c:pt>
                <c:pt idx="1">
                  <c:v>2247.9752979999998</c:v>
                </c:pt>
                <c:pt idx="2">
                  <c:v>2337.8701639999999</c:v>
                </c:pt>
                <c:pt idx="3">
                  <c:v>2422.048726</c:v>
                </c:pt>
                <c:pt idx="4">
                  <c:v>2994.9015182300004</c:v>
                </c:pt>
                <c:pt idx="5">
                  <c:v>2902.260264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34335488"/>
        <c:axId val="134337280"/>
      </c:barChart>
      <c:dateAx>
        <c:axId val="134335488"/>
        <c:scaling>
          <c:orientation val="minMax"/>
        </c:scaling>
        <c:delete val="0"/>
        <c:axPos val="l"/>
        <c:numFmt formatCode="dd/mm/yy;@" sourceLinked="0"/>
        <c:majorTickMark val="out"/>
        <c:minorTickMark val="none"/>
        <c:tickLblPos val="nextTo"/>
        <c:txPr>
          <a:bodyPr/>
          <a:lstStyle/>
          <a:p>
            <a:pPr>
              <a:defRPr i="1"/>
            </a:pPr>
            <a:endParaRPr lang="ru-RU"/>
          </a:p>
        </c:txPr>
        <c:crossAx val="134337280"/>
        <c:crosses val="autoZero"/>
        <c:auto val="1"/>
        <c:lblOffset val="100"/>
        <c:baseTimeUnit val="months"/>
        <c:majorUnit val="3"/>
        <c:majorTimeUnit val="months"/>
        <c:minorUnit val="3"/>
        <c:minorTimeUnit val="months"/>
      </c:dateAx>
      <c:valAx>
        <c:axId val="134337280"/>
        <c:scaling>
          <c:orientation val="minMax"/>
          <c:max val="3000"/>
        </c:scaling>
        <c:delete val="0"/>
        <c:axPos val="b"/>
        <c:majorGridlines>
          <c:spPr>
            <a:ln w="3175">
              <a:solidFill>
                <a:schemeClr val="bg1">
                  <a:lumMod val="75000"/>
                </a:schemeClr>
              </a:solidFill>
              <a:prstDash val="dash"/>
            </a:ln>
          </c:spPr>
        </c:majorGridlines>
        <c:numFmt formatCode="_-* #,##0_-;\-* #,##0_-;_-* &quot;-&quot;??_-;_-@_-" sourceLinked="1"/>
        <c:majorTickMark val="out"/>
        <c:minorTickMark val="none"/>
        <c:tickLblPos val="nextTo"/>
        <c:txPr>
          <a:bodyPr/>
          <a:lstStyle/>
          <a:p>
            <a:pPr>
              <a:defRPr i="1"/>
            </a:pPr>
            <a:endParaRPr lang="ru-RU"/>
          </a:p>
        </c:txPr>
        <c:crossAx val="134335488"/>
        <c:crossesAt val="41640"/>
        <c:crossBetween val="between"/>
      </c:valAx>
    </c:plotArea>
    <c:legend>
      <c:legendPos val="b"/>
      <c:layout>
        <c:manualLayout>
          <c:xMode val="edge"/>
          <c:yMode val="edge"/>
          <c:x val="0.3197503376398339"/>
          <c:y val="0.90457842478992456"/>
          <c:w val="0.3604993247203323"/>
          <c:h val="9.5421575210075479E-2"/>
        </c:manualLayout>
      </c:layout>
      <c:overlay val="0"/>
      <c:txPr>
        <a:bodyPr/>
        <a:lstStyle/>
        <a:p>
          <a:pPr>
            <a:defRPr i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696281714785652"/>
          <c:y val="5.0925925925925923E-2"/>
          <c:w val="0.81766907261592303"/>
          <c:h val="0.764423665791776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'[график_изм деп. по валютам 2013-2014.xlsx]Лист1'!$C$29</c:f>
              <c:strCache>
                <c:ptCount val="1"/>
                <c:pt idx="0">
                  <c:v>тенге</c:v>
                </c:pt>
              </c:strCache>
            </c:strRef>
          </c:tx>
          <c:spPr>
            <a:solidFill>
              <a:srgbClr val="4D30FA"/>
            </a:solidFill>
          </c:spPr>
          <c:invertIfNegative val="0"/>
          <c:dLbls>
            <c:dLbl>
              <c:idx val="0"/>
              <c:layout>
                <c:manualLayout>
                  <c:x val="-2.777777777777676E-3"/>
                  <c:y val="-1.3889253426655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5833333333333333"/>
                  <c:y val="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331146106736653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5555555555555558E-3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7777777777777779E-3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'[график_изм деп. по валютам 2013-2014.xlsx]Лист1'!$D$28:$I$28</c:f>
              <c:numCache>
                <c:formatCode>m/d/yyyy</c:formatCode>
                <c:ptCount val="6"/>
                <c:pt idx="0">
                  <c:v>41640</c:v>
                </c:pt>
                <c:pt idx="1">
                  <c:v>41730</c:v>
                </c:pt>
                <c:pt idx="2">
                  <c:v>41821</c:v>
                </c:pt>
                <c:pt idx="3">
                  <c:v>41913</c:v>
                </c:pt>
                <c:pt idx="4">
                  <c:v>42005</c:v>
                </c:pt>
                <c:pt idx="5">
                  <c:v>42095</c:v>
                </c:pt>
              </c:numCache>
            </c:numRef>
          </c:cat>
          <c:val>
            <c:numRef>
              <c:f>'[график_изм деп. по валютам 2013-2014.xlsx]Лист1'!$D$29:$I$29</c:f>
              <c:numCache>
                <c:formatCode>0.0%</c:formatCode>
                <c:ptCount val="6"/>
                <c:pt idx="0">
                  <c:v>0.55965106458784886</c:v>
                </c:pt>
                <c:pt idx="1">
                  <c:v>0.45590562862900441</c:v>
                </c:pt>
                <c:pt idx="2">
                  <c:v>0.4643662625056274</c:v>
                </c:pt>
                <c:pt idx="3">
                  <c:v>0.44737733922399964</c:v>
                </c:pt>
                <c:pt idx="4">
                  <c:v>0.3251329534712471</c:v>
                </c:pt>
                <c:pt idx="5">
                  <c:v>0.32468477504951526</c:v>
                </c:pt>
              </c:numCache>
            </c:numRef>
          </c:val>
        </c:ser>
        <c:ser>
          <c:idx val="1"/>
          <c:order val="1"/>
          <c:tx>
            <c:strRef>
              <c:f>'[график_изм деп. по валютам 2013-2014.xlsx]Лист1'!$C$30</c:f>
              <c:strCache>
                <c:ptCount val="1"/>
                <c:pt idx="0">
                  <c:v>ин.валюта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'[график_изм деп. по валютам 2013-2014.xlsx]Лист1'!$D$28:$I$28</c:f>
              <c:numCache>
                <c:formatCode>m/d/yyyy</c:formatCode>
                <c:ptCount val="6"/>
                <c:pt idx="0">
                  <c:v>41640</c:v>
                </c:pt>
                <c:pt idx="1">
                  <c:v>41730</c:v>
                </c:pt>
                <c:pt idx="2">
                  <c:v>41821</c:v>
                </c:pt>
                <c:pt idx="3">
                  <c:v>41913</c:v>
                </c:pt>
                <c:pt idx="4">
                  <c:v>42005</c:v>
                </c:pt>
                <c:pt idx="5">
                  <c:v>42095</c:v>
                </c:pt>
              </c:numCache>
            </c:numRef>
          </c:cat>
          <c:val>
            <c:numRef>
              <c:f>'[график_изм деп. по валютам 2013-2014.xlsx]Лист1'!$D$30:$I$30</c:f>
              <c:numCache>
                <c:formatCode>0.0%</c:formatCode>
                <c:ptCount val="6"/>
                <c:pt idx="0">
                  <c:v>0.44034893541215114</c:v>
                </c:pt>
                <c:pt idx="1">
                  <c:v>0.54409437137099548</c:v>
                </c:pt>
                <c:pt idx="2">
                  <c:v>0.5356337374943726</c:v>
                </c:pt>
                <c:pt idx="3">
                  <c:v>0.55262266077600042</c:v>
                </c:pt>
                <c:pt idx="4">
                  <c:v>0.67486704652875285</c:v>
                </c:pt>
                <c:pt idx="5">
                  <c:v>0.67531522495048468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34502272"/>
        <c:axId val="134503808"/>
      </c:barChart>
      <c:dateAx>
        <c:axId val="134502272"/>
        <c:scaling>
          <c:orientation val="minMax"/>
        </c:scaling>
        <c:delete val="0"/>
        <c:axPos val="l"/>
        <c:numFmt formatCode="dd/mm/yy;@" sourceLinked="0"/>
        <c:majorTickMark val="out"/>
        <c:minorTickMark val="none"/>
        <c:tickLblPos val="nextTo"/>
        <c:txPr>
          <a:bodyPr/>
          <a:lstStyle/>
          <a:p>
            <a:pPr>
              <a:defRPr i="1"/>
            </a:pPr>
            <a:endParaRPr lang="ru-RU"/>
          </a:p>
        </c:txPr>
        <c:crossAx val="134503808"/>
        <c:crosses val="autoZero"/>
        <c:auto val="1"/>
        <c:lblOffset val="100"/>
        <c:baseTimeUnit val="months"/>
        <c:majorUnit val="3"/>
        <c:majorTimeUnit val="months"/>
        <c:minorUnit val="3"/>
        <c:minorTimeUnit val="months"/>
      </c:dateAx>
      <c:valAx>
        <c:axId val="134503808"/>
        <c:scaling>
          <c:orientation val="minMax"/>
          <c:max val="0.70000000000000007"/>
        </c:scaling>
        <c:delete val="0"/>
        <c:axPos val="b"/>
        <c:majorGridlines>
          <c:spPr>
            <a:ln w="3175">
              <a:solidFill>
                <a:schemeClr val="bg1">
                  <a:lumMod val="75000"/>
                </a:schemeClr>
              </a:solidFill>
              <a:prstDash val="dash"/>
            </a:ln>
          </c:spPr>
        </c:majorGridlines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i="1"/>
            </a:pPr>
            <a:endParaRPr lang="ru-RU"/>
          </a:p>
        </c:txPr>
        <c:crossAx val="134502272"/>
        <c:crossesAt val="41640"/>
        <c:crossBetween val="between"/>
      </c:valAx>
    </c:plotArea>
    <c:legend>
      <c:legendPos val="b"/>
      <c:layout>
        <c:manualLayout>
          <c:xMode val="edge"/>
          <c:yMode val="edge"/>
          <c:x val="0.33518544164391517"/>
          <c:y val="0.90457842478992456"/>
          <c:w val="0.36312995423310779"/>
          <c:h val="9.5421575210075479E-2"/>
        </c:manualLayout>
      </c:layout>
      <c:overlay val="0"/>
      <c:txPr>
        <a:bodyPr/>
        <a:lstStyle/>
        <a:p>
          <a:pPr>
            <a:defRPr i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3778509367363568E-3"/>
          <c:y val="2.0829590093184663E-2"/>
          <c:w val="0.56648650330346628"/>
          <c:h val="0.88204609910338383"/>
        </c:manualLayout>
      </c:layout>
      <c:pie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9"/>
          <c:dPt>
            <c:idx val="0"/>
            <c:bubble3D val="0"/>
            <c:spPr>
              <a:solidFill>
                <a:srgbClr val="0070C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bubble3D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bubble3D val="0"/>
            <c:spPr>
              <a:solidFill>
                <a:schemeClr val="bg1">
                  <a:lumMod val="5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0.13249394551994434"/>
                  <c:y val="0.11723611764826895"/>
                </c:manualLayout>
              </c:layout>
              <c:spPr/>
              <c:txPr>
                <a:bodyPr/>
                <a:lstStyle/>
                <a:p>
                  <a:pPr>
                    <a:defRPr sz="800" b="1" i="1">
                      <a:solidFill>
                        <a:schemeClr val="bg1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6494446346380612E-2"/>
                  <c:y val="-0.10481342448473011"/>
                </c:manualLayout>
              </c:layout>
              <c:spPr/>
              <c:txPr>
                <a:bodyPr/>
                <a:lstStyle/>
                <a:p>
                  <a:pPr>
                    <a:defRPr sz="800" b="1" i="1">
                      <a:solidFill>
                        <a:schemeClr val="bg1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5861416296444522"/>
                  <c:y val="-9.9534538598040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8545887935409072"/>
                  <c:y val="-0.133599214631992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7182043820609372E-2"/>
                  <c:y val="3.5387800362164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0859976220264848E-2"/>
                  <c:y val="0.160111522834777"/>
                </c:manualLayout>
              </c:layout>
              <c:spPr/>
              <c:txPr>
                <a:bodyPr/>
                <a:lstStyle/>
                <a:p>
                  <a:pPr>
                    <a:defRPr sz="800" b="1" i="1">
                      <a:solidFill>
                        <a:schemeClr val="bg1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'свод 4,1 кв'!$B$62:$B$67</c:f>
              <c:strCache>
                <c:ptCount val="6"/>
                <c:pt idx="0">
                  <c:v>Срочные и условные вклады до Т5 млн.</c:v>
                </c:pt>
                <c:pt idx="1">
                  <c:v>Срочные и условные вклады от Т5 млн. до Т10 млн.</c:v>
                </c:pt>
                <c:pt idx="2">
                  <c:v>Срочные и условные вклады от Т10 млн. до Т15 млн.</c:v>
                </c:pt>
                <c:pt idx="3">
                  <c:v>Срочные и условные вклады свыше Т15 млн.</c:v>
                </c:pt>
                <c:pt idx="4">
                  <c:v>До востребования</c:v>
                </c:pt>
                <c:pt idx="5">
                  <c:v>Текущие и карт-счета</c:v>
                </c:pt>
              </c:strCache>
            </c:strRef>
          </c:cat>
          <c:val>
            <c:numRef>
              <c:f>'свод 4,1 кв'!$C$62:$C$67</c:f>
              <c:numCache>
                <c:formatCode>0.0%</c:formatCode>
                <c:ptCount val="6"/>
                <c:pt idx="0">
                  <c:v>0.30347535363833156</c:v>
                </c:pt>
                <c:pt idx="1">
                  <c:v>9.1316541249394007E-2</c:v>
                </c:pt>
                <c:pt idx="2">
                  <c:v>3.5455105969435317E-2</c:v>
                </c:pt>
                <c:pt idx="3">
                  <c:v>0.46453731603045856</c:v>
                </c:pt>
                <c:pt idx="4">
                  <c:v>3.2197336114342602E-3</c:v>
                </c:pt>
                <c:pt idx="5">
                  <c:v>0.1019959495009463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1800349005287381"/>
          <c:y val="5.6883939058157744E-2"/>
          <c:w val="0.36162510936132986"/>
          <c:h val="0.83975665832468616"/>
        </c:manualLayout>
      </c:layout>
      <c:overlay val="0"/>
      <c:txPr>
        <a:bodyPr/>
        <a:lstStyle/>
        <a:p>
          <a:pPr>
            <a:defRPr sz="800" i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B316-4EA1-4D90-84ED-7CBA9CBE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Nazym</dc:creator>
  <cp:keywords/>
  <dc:description/>
  <cp:lastModifiedBy>Nazym</cp:lastModifiedBy>
  <cp:revision>23</cp:revision>
  <dcterms:created xsi:type="dcterms:W3CDTF">2015-05-25T09:19:00Z</dcterms:created>
  <dcterms:modified xsi:type="dcterms:W3CDTF">2015-06-02T05:12:00Z</dcterms:modified>
</cp:coreProperties>
</file>