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C7" w:rsidRPr="00665AA5" w:rsidRDefault="00E271C7" w:rsidP="00E271C7">
      <w:pPr>
        <w:jc w:val="center"/>
        <w:outlineLvl w:val="0"/>
        <w:rPr>
          <w:rFonts w:cs="Garamond"/>
          <w:b/>
          <w:caps/>
          <w:spacing w:val="20"/>
          <w:lang w:eastAsia="it-IT"/>
        </w:rPr>
      </w:pPr>
      <w:r w:rsidRPr="00665AA5">
        <w:rPr>
          <w:rFonts w:cs="Garamond"/>
          <w:b/>
          <w:caps/>
          <w:spacing w:val="20"/>
          <w:lang w:eastAsia="it-IT"/>
        </w:rPr>
        <w:t>Казахстанский фонд гарантирования депозитов</w:t>
      </w:r>
    </w:p>
    <w:p w:rsidR="00E271C7" w:rsidRPr="00665AA5" w:rsidRDefault="00E271C7" w:rsidP="00E271C7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E271C7" w:rsidRPr="00665AA5" w:rsidRDefault="00E271C7" w:rsidP="00E271C7">
      <w:pPr>
        <w:jc w:val="center"/>
        <w:outlineLvl w:val="0"/>
        <w:rPr>
          <w:rFonts w:cs="Garamond"/>
          <w:b/>
          <w:i/>
          <w:spacing w:val="20"/>
          <w:lang w:eastAsia="it-IT"/>
        </w:rPr>
      </w:pPr>
      <w:r w:rsidRPr="00665AA5">
        <w:rPr>
          <w:rFonts w:cs="Garamond"/>
          <w:b/>
          <w:i/>
          <w:spacing w:val="20"/>
          <w:lang w:eastAsia="it-IT"/>
        </w:rPr>
        <w:t>Отдел анализа и общественных связей</w:t>
      </w:r>
    </w:p>
    <w:p w:rsidR="00E271C7" w:rsidRPr="00245A13" w:rsidRDefault="00E271C7" w:rsidP="00E271C7">
      <w:pPr>
        <w:jc w:val="center"/>
        <w:outlineLvl w:val="0"/>
        <w:rPr>
          <w:rFonts w:cs="Garamond"/>
          <w:b/>
          <w:spacing w:val="20"/>
          <w:sz w:val="28"/>
          <w:szCs w:val="28"/>
          <w:lang w:eastAsia="it-IT"/>
        </w:rPr>
      </w:pPr>
    </w:p>
    <w:p w:rsidR="00E271C7" w:rsidRPr="00245A13" w:rsidRDefault="00E271C7" w:rsidP="00E271C7">
      <w:pPr>
        <w:jc w:val="center"/>
        <w:outlineLvl w:val="0"/>
        <w:rPr>
          <w:rFonts w:cs="Garamond"/>
          <w:b/>
          <w:spacing w:val="20"/>
          <w:sz w:val="28"/>
          <w:szCs w:val="28"/>
          <w:lang w:eastAsia="it-IT"/>
        </w:rPr>
      </w:pPr>
    </w:p>
    <w:p w:rsidR="00E271C7" w:rsidRPr="00245A13" w:rsidRDefault="00E271C7" w:rsidP="00E271C7">
      <w:pPr>
        <w:jc w:val="center"/>
        <w:outlineLvl w:val="0"/>
        <w:rPr>
          <w:rFonts w:cs="Garamond"/>
          <w:b/>
          <w:spacing w:val="20"/>
          <w:sz w:val="28"/>
          <w:szCs w:val="28"/>
          <w:lang w:eastAsia="it-IT"/>
        </w:rPr>
      </w:pPr>
    </w:p>
    <w:p w:rsidR="00E271C7" w:rsidRPr="00245A13" w:rsidRDefault="00E271C7" w:rsidP="00E271C7">
      <w:pPr>
        <w:jc w:val="center"/>
        <w:outlineLvl w:val="0"/>
        <w:rPr>
          <w:rFonts w:cs="Garamond"/>
          <w:b/>
          <w:spacing w:val="20"/>
          <w:sz w:val="28"/>
          <w:szCs w:val="28"/>
          <w:lang w:eastAsia="it-IT"/>
        </w:rPr>
      </w:pPr>
    </w:p>
    <w:p w:rsidR="00E271C7" w:rsidRDefault="00E271C7" w:rsidP="00E271C7">
      <w:pPr>
        <w:jc w:val="center"/>
        <w:outlineLvl w:val="0"/>
        <w:rPr>
          <w:rFonts w:cs="Garamond"/>
          <w:b/>
          <w:spacing w:val="20"/>
          <w:sz w:val="28"/>
          <w:szCs w:val="28"/>
          <w:lang w:eastAsia="it-IT"/>
        </w:rPr>
      </w:pPr>
    </w:p>
    <w:p w:rsidR="00E271C7" w:rsidRDefault="00E271C7" w:rsidP="00E271C7">
      <w:pPr>
        <w:jc w:val="center"/>
        <w:outlineLvl w:val="0"/>
        <w:rPr>
          <w:rFonts w:cs="Garamond"/>
          <w:b/>
          <w:spacing w:val="20"/>
          <w:sz w:val="28"/>
          <w:szCs w:val="28"/>
          <w:lang w:eastAsia="it-IT"/>
        </w:rPr>
      </w:pPr>
    </w:p>
    <w:p w:rsidR="00E271C7" w:rsidRPr="00245A13" w:rsidRDefault="00E271C7" w:rsidP="00E271C7">
      <w:pPr>
        <w:jc w:val="center"/>
        <w:outlineLvl w:val="0"/>
        <w:rPr>
          <w:rFonts w:cs="Garamond"/>
          <w:b/>
          <w:spacing w:val="20"/>
          <w:sz w:val="28"/>
          <w:szCs w:val="28"/>
          <w:lang w:eastAsia="it-IT"/>
        </w:rPr>
      </w:pPr>
    </w:p>
    <w:p w:rsidR="00E271C7" w:rsidRPr="00245A13" w:rsidRDefault="00E271C7" w:rsidP="00E271C7">
      <w:pPr>
        <w:jc w:val="center"/>
        <w:outlineLvl w:val="0"/>
        <w:rPr>
          <w:rFonts w:cs="Garamond"/>
          <w:b/>
          <w:spacing w:val="20"/>
          <w:sz w:val="28"/>
          <w:szCs w:val="28"/>
          <w:lang w:eastAsia="it-IT"/>
        </w:rPr>
      </w:pPr>
    </w:p>
    <w:p w:rsidR="00E271C7" w:rsidRDefault="00E271C7" w:rsidP="00E271C7">
      <w:pPr>
        <w:jc w:val="center"/>
        <w:outlineLvl w:val="0"/>
        <w:rPr>
          <w:rFonts w:cs="Garamond"/>
          <w:b/>
          <w:spacing w:val="20"/>
          <w:sz w:val="28"/>
          <w:szCs w:val="28"/>
          <w:lang w:eastAsia="it-IT"/>
        </w:rPr>
      </w:pPr>
    </w:p>
    <w:p w:rsidR="00E271C7" w:rsidRDefault="00E271C7" w:rsidP="00E271C7">
      <w:pPr>
        <w:jc w:val="center"/>
        <w:outlineLvl w:val="0"/>
        <w:rPr>
          <w:rFonts w:cs="Garamond"/>
          <w:b/>
          <w:spacing w:val="20"/>
          <w:sz w:val="28"/>
          <w:szCs w:val="28"/>
          <w:lang w:eastAsia="it-IT"/>
        </w:rPr>
      </w:pPr>
    </w:p>
    <w:p w:rsidR="00E271C7" w:rsidRPr="00245A13" w:rsidRDefault="00E271C7" w:rsidP="00E271C7">
      <w:pPr>
        <w:jc w:val="center"/>
        <w:outlineLvl w:val="0"/>
        <w:rPr>
          <w:rFonts w:cs="Garamond"/>
          <w:b/>
          <w:spacing w:val="20"/>
          <w:sz w:val="28"/>
          <w:szCs w:val="28"/>
          <w:lang w:eastAsia="it-IT"/>
        </w:rPr>
      </w:pPr>
    </w:p>
    <w:p w:rsidR="00E271C7" w:rsidRPr="00245A13" w:rsidRDefault="00E271C7" w:rsidP="00E271C7">
      <w:pPr>
        <w:spacing w:after="240"/>
        <w:jc w:val="center"/>
        <w:outlineLvl w:val="0"/>
        <w:rPr>
          <w:rFonts w:cs="Garamond"/>
          <w:b/>
          <w:spacing w:val="20"/>
          <w:sz w:val="30"/>
          <w:szCs w:val="30"/>
          <w:lang w:eastAsia="it-IT"/>
        </w:rPr>
      </w:pPr>
      <w:r w:rsidRPr="00245A13">
        <w:rPr>
          <w:rFonts w:cs="Garamond"/>
          <w:b/>
          <w:spacing w:val="20"/>
          <w:sz w:val="30"/>
          <w:szCs w:val="30"/>
          <w:lang w:eastAsia="it-IT"/>
        </w:rPr>
        <w:t>ИНФОРМАЦИОННЫЙ ОБЗОР</w:t>
      </w:r>
    </w:p>
    <w:p w:rsidR="00E271C7" w:rsidRPr="00245A13" w:rsidRDefault="00E271C7" w:rsidP="005400C3">
      <w:pPr>
        <w:tabs>
          <w:tab w:val="left" w:pos="3969"/>
        </w:tabs>
        <w:spacing w:after="120"/>
        <w:jc w:val="center"/>
        <w:outlineLvl w:val="0"/>
        <w:rPr>
          <w:rFonts w:cs="Garamond"/>
          <w:b/>
          <w:spacing w:val="20"/>
          <w:sz w:val="30"/>
          <w:szCs w:val="30"/>
          <w:lang w:eastAsia="it-IT"/>
        </w:rPr>
      </w:pPr>
      <w:r w:rsidRPr="00245A13">
        <w:rPr>
          <w:rFonts w:cs="Garamond"/>
          <w:b/>
          <w:spacing w:val="20"/>
          <w:sz w:val="30"/>
          <w:szCs w:val="30"/>
          <w:lang w:eastAsia="it-IT"/>
        </w:rPr>
        <w:t>РЫНКА ДЕПОЗИТОВ ФИЗИЧЕСКИХ ЛИЦ</w:t>
      </w:r>
    </w:p>
    <w:p w:rsidR="00860D48" w:rsidRPr="00245A13" w:rsidRDefault="002653C3" w:rsidP="00860D48">
      <w:pPr>
        <w:spacing w:after="120"/>
        <w:jc w:val="center"/>
        <w:outlineLvl w:val="0"/>
        <w:rPr>
          <w:rFonts w:cs="Garamond"/>
          <w:b/>
          <w:i/>
          <w:spacing w:val="20"/>
          <w:sz w:val="32"/>
          <w:szCs w:val="32"/>
          <w:lang w:eastAsia="it-IT"/>
        </w:rPr>
      </w:pPr>
      <w:r>
        <w:rPr>
          <w:rFonts w:cs="Garamond"/>
          <w:b/>
          <w:i/>
          <w:spacing w:val="20"/>
          <w:sz w:val="30"/>
          <w:szCs w:val="30"/>
          <w:lang w:eastAsia="it-IT"/>
        </w:rPr>
        <w:t xml:space="preserve">за 1-ый квартал </w:t>
      </w:r>
      <w:r w:rsidR="00860D48" w:rsidRPr="00BC7D40">
        <w:rPr>
          <w:rFonts w:cs="Garamond"/>
          <w:b/>
          <w:i/>
          <w:spacing w:val="20"/>
          <w:sz w:val="30"/>
          <w:szCs w:val="30"/>
          <w:lang w:eastAsia="it-IT"/>
        </w:rPr>
        <w:t>201</w:t>
      </w:r>
      <w:r>
        <w:rPr>
          <w:rFonts w:cs="Garamond"/>
          <w:b/>
          <w:i/>
          <w:spacing w:val="20"/>
          <w:sz w:val="30"/>
          <w:szCs w:val="30"/>
          <w:lang w:eastAsia="it-IT"/>
        </w:rPr>
        <w:t>1</w:t>
      </w:r>
      <w:r w:rsidR="00860D48" w:rsidRPr="00BC7D40">
        <w:rPr>
          <w:rFonts w:cs="Garamond"/>
          <w:b/>
          <w:i/>
          <w:spacing w:val="20"/>
          <w:sz w:val="30"/>
          <w:szCs w:val="30"/>
          <w:lang w:eastAsia="it-IT"/>
        </w:rPr>
        <w:t xml:space="preserve"> г.</w:t>
      </w:r>
    </w:p>
    <w:p w:rsidR="00860D48" w:rsidRPr="00245A13" w:rsidRDefault="00860D48" w:rsidP="00860D48">
      <w:pPr>
        <w:spacing w:after="120"/>
        <w:jc w:val="center"/>
        <w:outlineLvl w:val="0"/>
        <w:rPr>
          <w:rFonts w:cs="Garamond"/>
          <w:b/>
          <w:spacing w:val="20"/>
          <w:sz w:val="32"/>
          <w:szCs w:val="32"/>
          <w:lang w:eastAsia="it-IT"/>
        </w:rPr>
      </w:pPr>
    </w:p>
    <w:p w:rsidR="00860D48" w:rsidRPr="00245A13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Pr="00245A13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Pr="00245A13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Pr="00245A13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Pr="00245A13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Pr="00245A13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Pr="00245A13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Pr="00245A13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Pr="00245A13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Pr="00245A13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Pr="00245A13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Pr="00245A13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Pr="00245A13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Pr="00245A13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Pr="00245A13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Pr="00245A13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Pr="00245A13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Pr="00245A13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Pr="00245A13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Pr="00245A13" w:rsidRDefault="00860D48" w:rsidP="00860D48">
      <w:pPr>
        <w:jc w:val="center"/>
        <w:outlineLvl w:val="0"/>
        <w:rPr>
          <w:rFonts w:cs="Garamond"/>
          <w:b/>
          <w:spacing w:val="20"/>
          <w:lang w:eastAsia="it-IT"/>
        </w:rPr>
      </w:pPr>
    </w:p>
    <w:p w:rsidR="00860D48" w:rsidRDefault="00860D48" w:rsidP="00860D48">
      <w:pPr>
        <w:tabs>
          <w:tab w:val="left" w:pos="2977"/>
          <w:tab w:val="left" w:pos="3969"/>
        </w:tabs>
        <w:spacing w:after="120" w:line="276" w:lineRule="auto"/>
        <w:ind w:firstLine="567"/>
        <w:jc w:val="both"/>
      </w:pPr>
    </w:p>
    <w:p w:rsidR="002653C3" w:rsidRDefault="002653C3" w:rsidP="00860D48">
      <w:pPr>
        <w:tabs>
          <w:tab w:val="left" w:pos="2977"/>
          <w:tab w:val="left" w:pos="3969"/>
        </w:tabs>
        <w:spacing w:after="120" w:line="276" w:lineRule="auto"/>
        <w:ind w:firstLine="567"/>
        <w:jc w:val="both"/>
      </w:pPr>
    </w:p>
    <w:p w:rsidR="002653C3" w:rsidRDefault="002653C3" w:rsidP="00860D48">
      <w:pPr>
        <w:tabs>
          <w:tab w:val="left" w:pos="2977"/>
          <w:tab w:val="left" w:pos="3969"/>
        </w:tabs>
        <w:spacing w:after="120" w:line="276" w:lineRule="auto"/>
        <w:ind w:firstLine="567"/>
        <w:jc w:val="both"/>
      </w:pPr>
      <w:r w:rsidRPr="004E598B">
        <w:lastRenderedPageBreak/>
        <w:t xml:space="preserve">По итогам 1-ого квартала 2011 г. отечественные банки </w:t>
      </w:r>
      <w:r w:rsidRPr="00605BF6">
        <w:t>привлекли розничные депозиты на общую сумму Т</w:t>
      </w:r>
      <w:r>
        <w:t>79,8</w:t>
      </w:r>
      <w:r w:rsidRPr="00605BF6">
        <w:t xml:space="preserve"> млрд., аккумулировав Т2,33 трлн. средств населения. Несмотря на то, что данное квартальное увеличение в 2 раза превысило результаты аналогичного периода прошлого года, в процентном выражении приток депозитов составил 3,</w:t>
      </w:r>
      <w:r w:rsidR="006314F2">
        <w:t>5</w:t>
      </w:r>
      <w:r w:rsidRPr="00605BF6">
        <w:t>%, продолжив тем самым тенденцию умеренного роста, сложившуюся на протяжении последних 6 кварталов</w:t>
      </w:r>
      <w:r>
        <w:t xml:space="preserve"> </w:t>
      </w:r>
      <w:r>
        <w:rPr>
          <w:i/>
        </w:rPr>
        <w:t>(рис. 1)</w:t>
      </w:r>
      <w:r w:rsidRPr="00605BF6">
        <w:t>.</w:t>
      </w:r>
      <w:r w:rsidR="00A166B0">
        <w:t xml:space="preserve"> </w:t>
      </w:r>
    </w:p>
    <w:p w:rsidR="00BD24FA" w:rsidRDefault="00BD24FA" w:rsidP="00860D48">
      <w:pPr>
        <w:tabs>
          <w:tab w:val="left" w:pos="2977"/>
          <w:tab w:val="left" w:pos="3969"/>
        </w:tabs>
        <w:spacing w:after="120" w:line="276" w:lineRule="auto"/>
        <w:ind w:firstLine="567"/>
        <w:jc w:val="both"/>
      </w:pPr>
    </w:p>
    <w:p w:rsidR="002653C3" w:rsidRDefault="003874D9" w:rsidP="002653C3">
      <w:pPr>
        <w:tabs>
          <w:tab w:val="left" w:pos="2977"/>
          <w:tab w:val="left" w:pos="3969"/>
        </w:tabs>
        <w:spacing w:after="120" w:line="276" w:lineRule="auto"/>
        <w:jc w:val="both"/>
      </w:pPr>
      <w:r w:rsidRPr="003874D9">
        <w:rPr>
          <w:noProof/>
        </w:rPr>
        <w:drawing>
          <wp:inline distT="0" distB="0" distL="0" distR="0">
            <wp:extent cx="5939790" cy="2722565"/>
            <wp:effectExtent l="19050" t="0" r="22860" b="1585"/>
            <wp:docPr id="1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24FA" w:rsidRDefault="00BD24FA" w:rsidP="00860D48">
      <w:pPr>
        <w:spacing w:after="120" w:line="276" w:lineRule="auto"/>
        <w:ind w:firstLine="567"/>
        <w:jc w:val="both"/>
        <w:rPr>
          <w:lang w:eastAsia="it-IT"/>
        </w:rPr>
      </w:pPr>
    </w:p>
    <w:p w:rsidR="00D723D6" w:rsidRPr="000C6C50" w:rsidRDefault="00E36686" w:rsidP="00860D48">
      <w:pPr>
        <w:spacing w:after="120" w:line="276" w:lineRule="auto"/>
        <w:ind w:firstLine="567"/>
        <w:jc w:val="both"/>
        <w:rPr>
          <w:i/>
          <w:color w:val="000000"/>
        </w:rPr>
      </w:pPr>
      <w:r w:rsidRPr="00CE5857">
        <w:rPr>
          <w:lang w:eastAsia="it-IT"/>
        </w:rPr>
        <w:t>Структура совокупной депозитной базы</w:t>
      </w:r>
      <w:r>
        <w:rPr>
          <w:lang w:eastAsia="it-IT"/>
        </w:rPr>
        <w:t xml:space="preserve"> населения</w:t>
      </w:r>
      <w:r w:rsidRPr="00CE5857">
        <w:rPr>
          <w:lang w:eastAsia="it-IT"/>
        </w:rPr>
        <w:t xml:space="preserve"> по состоянию на 1 апреля выглядит следующим образом: большую часть занимают </w:t>
      </w:r>
      <w:r w:rsidRPr="00CE5857">
        <w:t>срочные вклады с общей долей 87,5%, далее следуют суммы остатков на текущих и карт-счетах с 11% и вклады до востребования</w:t>
      </w:r>
      <w:r w:rsidRPr="00E55D65">
        <w:t xml:space="preserve"> </w:t>
      </w:r>
      <w:r>
        <w:t>с 1,5%</w:t>
      </w:r>
      <w:r w:rsidR="000706C4" w:rsidRPr="00A15D62">
        <w:rPr>
          <w:color w:val="000000"/>
        </w:rPr>
        <w:t xml:space="preserve">. </w:t>
      </w:r>
      <w:r>
        <w:t xml:space="preserve">На долю </w:t>
      </w:r>
      <w:r w:rsidRPr="00CE5857">
        <w:t>депозитов в пределах суммы гарантийного возмещения приходится 4</w:t>
      </w:r>
      <w:r>
        <w:t>4,9</w:t>
      </w:r>
      <w:r w:rsidRPr="00CE5857">
        <w:t>% от совокупной суммы вкладов</w:t>
      </w:r>
      <w:r>
        <w:t xml:space="preserve"> (в том числе 32,4% - срочные вклады)</w:t>
      </w:r>
      <w:r w:rsidRPr="00CE5857">
        <w:t xml:space="preserve"> и 99,7% от совокупного количества счетов</w:t>
      </w:r>
      <w:r>
        <w:t xml:space="preserve"> (в том числе 10,3% - счетов по срочным вкладам)</w:t>
      </w:r>
      <w:r>
        <w:rPr>
          <w:color w:val="000000"/>
        </w:rPr>
        <w:t xml:space="preserve"> </w:t>
      </w:r>
      <w:r>
        <w:rPr>
          <w:i/>
          <w:color w:val="000000"/>
        </w:rPr>
        <w:t>(</w:t>
      </w:r>
      <w:r w:rsidR="00C42F8A">
        <w:rPr>
          <w:i/>
          <w:color w:val="000000"/>
        </w:rPr>
        <w:t>таб</w:t>
      </w:r>
      <w:r w:rsidR="00193A9B" w:rsidRPr="00A15D62">
        <w:rPr>
          <w:i/>
          <w:color w:val="000000"/>
        </w:rPr>
        <w:t xml:space="preserve">. </w:t>
      </w:r>
      <w:r w:rsidR="00C42F8A">
        <w:rPr>
          <w:i/>
          <w:color w:val="000000"/>
        </w:rPr>
        <w:t>1</w:t>
      </w:r>
      <w:r w:rsidR="00311814">
        <w:rPr>
          <w:i/>
          <w:color w:val="000000"/>
        </w:rPr>
        <w:t>).</w:t>
      </w:r>
      <w:r w:rsidR="000C6C50" w:rsidRPr="000C6C50">
        <w:rPr>
          <w:i/>
          <w:color w:val="000000"/>
        </w:rPr>
        <w:t xml:space="preserve"> </w:t>
      </w:r>
      <w:r w:rsidR="000C6C50" w:rsidRPr="00A15D62">
        <w:rPr>
          <w:color w:val="000000"/>
        </w:rPr>
        <w:t>Если рассматривать только срочные депозиты,</w:t>
      </w:r>
      <w:r w:rsidR="000C6C50">
        <w:rPr>
          <w:color w:val="000000"/>
        </w:rPr>
        <w:t xml:space="preserve"> то</w:t>
      </w:r>
      <w:r w:rsidR="000C6C50" w:rsidRPr="00A15D62">
        <w:rPr>
          <w:color w:val="000000"/>
        </w:rPr>
        <w:t xml:space="preserve"> </w:t>
      </w:r>
      <w:r w:rsidR="000C6C50">
        <w:rPr>
          <w:color w:val="000000"/>
        </w:rPr>
        <w:t xml:space="preserve">можно отметить, что количество счетов по депозитам в размере </w:t>
      </w:r>
      <w:r w:rsidR="000C6C50">
        <w:rPr>
          <w:i/>
          <w:color w:val="000000"/>
        </w:rPr>
        <w:t>до Т5 млн.</w:t>
      </w:r>
      <w:r w:rsidR="000C6C50">
        <w:rPr>
          <w:color w:val="000000"/>
        </w:rPr>
        <w:t xml:space="preserve"> составляет 97</w:t>
      </w:r>
      <w:r w:rsidR="000C6C50" w:rsidRPr="00A15D62">
        <w:rPr>
          <w:color w:val="000000"/>
        </w:rPr>
        <w:t>%</w:t>
      </w:r>
      <w:r w:rsidR="000C6C50">
        <w:rPr>
          <w:color w:val="000000"/>
        </w:rPr>
        <w:t xml:space="preserve"> от общего количества срочных вкладов, а их сумма - 37</w:t>
      </w:r>
      <w:r w:rsidR="000C6C50" w:rsidRPr="00C065E8">
        <w:rPr>
          <w:color w:val="000000"/>
        </w:rPr>
        <w:t>% от</w:t>
      </w:r>
      <w:r w:rsidR="000C6C50">
        <w:rPr>
          <w:color w:val="000000"/>
        </w:rPr>
        <w:t xml:space="preserve"> общей</w:t>
      </w:r>
      <w:r w:rsidR="000C6C50" w:rsidRPr="00C065E8">
        <w:rPr>
          <w:color w:val="000000"/>
        </w:rPr>
        <w:t xml:space="preserve"> суммы срочных вкладов. </w:t>
      </w:r>
    </w:p>
    <w:p w:rsidR="00BD24FA" w:rsidRDefault="00BD24FA" w:rsidP="00860D48">
      <w:pPr>
        <w:spacing w:after="120" w:line="276" w:lineRule="auto"/>
        <w:ind w:firstLine="567"/>
        <w:jc w:val="both"/>
        <w:rPr>
          <w:i/>
          <w:color w:val="000000"/>
        </w:rPr>
      </w:pPr>
    </w:p>
    <w:p w:rsidR="00C42F8A" w:rsidRPr="007515E2" w:rsidRDefault="00C42F8A" w:rsidP="00C42F8A">
      <w:pPr>
        <w:spacing w:after="120"/>
        <w:jc w:val="both"/>
        <w:rPr>
          <w:b/>
          <w:sz w:val="20"/>
          <w:szCs w:val="20"/>
        </w:rPr>
      </w:pPr>
      <w:r w:rsidRPr="007515E2">
        <w:rPr>
          <w:b/>
          <w:sz w:val="20"/>
          <w:szCs w:val="20"/>
        </w:rPr>
        <w:t xml:space="preserve">Таблица </w:t>
      </w:r>
      <w:r>
        <w:rPr>
          <w:b/>
          <w:sz w:val="20"/>
          <w:szCs w:val="20"/>
        </w:rPr>
        <w:t>1</w:t>
      </w:r>
      <w:r w:rsidRPr="007515E2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Структура депозитной базы населения</w:t>
      </w:r>
      <w:r w:rsidRPr="007515E2">
        <w:rPr>
          <w:b/>
          <w:sz w:val="20"/>
          <w:szCs w:val="20"/>
        </w:rPr>
        <w:t xml:space="preserve"> </w:t>
      </w:r>
    </w:p>
    <w:tbl>
      <w:tblPr>
        <w:tblW w:w="8298" w:type="dxa"/>
        <w:tblInd w:w="91" w:type="dxa"/>
        <w:tblBorders>
          <w:bottom w:val="single" w:sz="4" w:space="0" w:color="auto"/>
        </w:tblBorders>
        <w:tblLook w:val="04A0"/>
      </w:tblPr>
      <w:tblGrid>
        <w:gridCol w:w="3703"/>
        <w:gridCol w:w="1417"/>
        <w:gridCol w:w="1418"/>
        <w:gridCol w:w="1760"/>
      </w:tblGrid>
      <w:tr w:rsidR="00F07183" w:rsidRPr="004C2227" w:rsidTr="00F07183">
        <w:trPr>
          <w:trHeight w:val="285"/>
        </w:trPr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7183" w:rsidRPr="004C2227" w:rsidRDefault="00F07183" w:rsidP="00281D2F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7183" w:rsidRPr="00281D2F" w:rsidRDefault="00F07183" w:rsidP="00281D2F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2227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 w:rsidR="00F07183" w:rsidRPr="004C2227" w:rsidRDefault="00F07183" w:rsidP="00281D2F">
            <w:pPr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281D2F">
              <w:rPr>
                <w:bCs/>
                <w:color w:val="000000"/>
                <w:sz w:val="20"/>
                <w:szCs w:val="20"/>
              </w:rPr>
              <w:t>(млн., тенге)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183" w:rsidRPr="004C2227" w:rsidRDefault="00F07183" w:rsidP="00281D2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счетов </w:t>
            </w:r>
            <w:r>
              <w:rPr>
                <w:sz w:val="20"/>
                <w:szCs w:val="20"/>
              </w:rPr>
              <w:t>(тыс.)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7183" w:rsidRDefault="00F07183" w:rsidP="00281D2F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2227">
              <w:rPr>
                <w:b/>
                <w:bCs/>
                <w:color w:val="000000"/>
                <w:sz w:val="20"/>
                <w:szCs w:val="20"/>
              </w:rPr>
              <w:t xml:space="preserve">Средняя сумма </w:t>
            </w:r>
          </w:p>
          <w:p w:rsidR="00F07183" w:rsidRDefault="00F07183" w:rsidP="00281D2F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одного</w:t>
            </w:r>
            <w:r w:rsidRPr="004C2227">
              <w:rPr>
                <w:b/>
                <w:bCs/>
                <w:color w:val="000000"/>
                <w:sz w:val="20"/>
                <w:szCs w:val="20"/>
              </w:rPr>
              <w:t xml:space="preserve"> вклада</w:t>
            </w:r>
          </w:p>
          <w:p w:rsidR="00F07183" w:rsidRPr="004C2227" w:rsidRDefault="00F07183" w:rsidP="00281D2F">
            <w:pPr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281D2F">
              <w:rPr>
                <w:bCs/>
                <w:color w:val="000000"/>
                <w:sz w:val="20"/>
                <w:szCs w:val="20"/>
              </w:rPr>
              <w:t>(тыс. тенге)</w:t>
            </w:r>
          </w:p>
        </w:tc>
      </w:tr>
      <w:tr w:rsidR="00F07183" w:rsidRPr="004C2227" w:rsidTr="00F07183">
        <w:trPr>
          <w:trHeight w:val="315"/>
        </w:trPr>
        <w:tc>
          <w:tcPr>
            <w:tcW w:w="3703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F07183" w:rsidRPr="004C2227" w:rsidRDefault="00F07183" w:rsidP="004C2227">
            <w:pPr>
              <w:contextualSpacing/>
              <w:rPr>
                <w:color w:val="000000"/>
                <w:sz w:val="20"/>
                <w:szCs w:val="20"/>
              </w:rPr>
            </w:pPr>
            <w:r w:rsidRPr="004C2227">
              <w:rPr>
                <w:color w:val="000000"/>
                <w:sz w:val="20"/>
                <w:szCs w:val="20"/>
              </w:rPr>
              <w:t>Срочные и условные вклады, в т.ч.: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F07183" w:rsidRDefault="00F07183" w:rsidP="002C0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87,5%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07183" w:rsidRDefault="00F07183" w:rsidP="002C0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10,6%</w:t>
            </w: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F07183" w:rsidRPr="004C2227" w:rsidRDefault="00F07183" w:rsidP="00281D2F">
            <w:pPr>
              <w:ind w:right="516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4C2227">
              <w:rPr>
                <w:color w:val="000000"/>
                <w:sz w:val="20"/>
                <w:szCs w:val="20"/>
              </w:rPr>
              <w:t>1 222</w:t>
            </w:r>
          </w:p>
        </w:tc>
      </w:tr>
      <w:tr w:rsidR="00F07183" w:rsidRPr="004C2227" w:rsidTr="00F07183">
        <w:trPr>
          <w:trHeight w:val="315"/>
        </w:trPr>
        <w:tc>
          <w:tcPr>
            <w:tcW w:w="3703" w:type="dxa"/>
            <w:tcBorders>
              <w:bottom w:val="nil"/>
            </w:tcBorders>
            <w:shd w:val="clear" w:color="auto" w:fill="auto"/>
            <w:hideMark/>
          </w:tcPr>
          <w:p w:rsidR="00F07183" w:rsidRPr="004C2227" w:rsidRDefault="00F07183" w:rsidP="00281D2F">
            <w:pPr>
              <w:ind w:left="335"/>
              <w:contextualSpacing/>
              <w:rPr>
                <w:i/>
                <w:color w:val="000000"/>
                <w:sz w:val="20"/>
                <w:szCs w:val="20"/>
              </w:rPr>
            </w:pPr>
            <w:r w:rsidRPr="004C2227">
              <w:rPr>
                <w:i/>
                <w:color w:val="000000"/>
                <w:sz w:val="20"/>
                <w:szCs w:val="20"/>
              </w:rPr>
              <w:t>до Т5 млн.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07183" w:rsidRPr="002C00E1" w:rsidRDefault="00F07183" w:rsidP="002C00E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C00E1">
              <w:rPr>
                <w:i/>
                <w:color w:val="000000"/>
                <w:sz w:val="20"/>
                <w:szCs w:val="20"/>
              </w:rPr>
              <w:t>32,4%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F07183" w:rsidRPr="002C00E1" w:rsidRDefault="00F07183" w:rsidP="002C00E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C00E1">
              <w:rPr>
                <w:i/>
                <w:color w:val="000000"/>
                <w:sz w:val="20"/>
                <w:szCs w:val="20"/>
              </w:rPr>
              <w:t>10,3%</w:t>
            </w:r>
          </w:p>
        </w:tc>
        <w:tc>
          <w:tcPr>
            <w:tcW w:w="1760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07183" w:rsidRPr="004C2227" w:rsidRDefault="00F07183" w:rsidP="00281D2F">
            <w:pPr>
              <w:ind w:right="516"/>
              <w:contextualSpacing/>
              <w:jc w:val="right"/>
              <w:rPr>
                <w:i/>
                <w:color w:val="000000"/>
                <w:sz w:val="20"/>
                <w:szCs w:val="20"/>
              </w:rPr>
            </w:pPr>
            <w:r w:rsidRPr="004C2227">
              <w:rPr>
                <w:i/>
                <w:color w:val="000000"/>
                <w:sz w:val="20"/>
                <w:szCs w:val="20"/>
              </w:rPr>
              <w:t>466</w:t>
            </w:r>
          </w:p>
        </w:tc>
      </w:tr>
      <w:tr w:rsidR="00F07183" w:rsidRPr="004C2227" w:rsidTr="00F07183">
        <w:trPr>
          <w:trHeight w:val="315"/>
        </w:trPr>
        <w:tc>
          <w:tcPr>
            <w:tcW w:w="3703" w:type="dxa"/>
            <w:tcBorders>
              <w:bottom w:val="nil"/>
            </w:tcBorders>
            <w:shd w:val="clear" w:color="auto" w:fill="auto"/>
            <w:hideMark/>
          </w:tcPr>
          <w:p w:rsidR="00F07183" w:rsidRPr="004C2227" w:rsidRDefault="00F07183" w:rsidP="00281D2F">
            <w:pPr>
              <w:ind w:left="335"/>
              <w:contextualSpacing/>
              <w:rPr>
                <w:i/>
                <w:color w:val="000000"/>
                <w:sz w:val="20"/>
                <w:szCs w:val="20"/>
              </w:rPr>
            </w:pPr>
            <w:r w:rsidRPr="004C2227">
              <w:rPr>
                <w:i/>
                <w:color w:val="000000"/>
                <w:sz w:val="20"/>
                <w:szCs w:val="20"/>
              </w:rPr>
              <w:t>свыше Т5 млн.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07183" w:rsidRPr="002C00E1" w:rsidRDefault="00F07183" w:rsidP="002C00E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C00E1">
              <w:rPr>
                <w:i/>
                <w:color w:val="000000"/>
                <w:sz w:val="20"/>
                <w:szCs w:val="20"/>
              </w:rPr>
              <w:t>55,1%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F07183" w:rsidRPr="002C00E1" w:rsidRDefault="00F07183" w:rsidP="002C00E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C00E1">
              <w:rPr>
                <w:i/>
                <w:color w:val="000000"/>
                <w:sz w:val="20"/>
                <w:szCs w:val="20"/>
              </w:rPr>
              <w:t>0,3%</w:t>
            </w:r>
          </w:p>
        </w:tc>
        <w:tc>
          <w:tcPr>
            <w:tcW w:w="1760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07183" w:rsidRPr="004C2227" w:rsidRDefault="00F07183" w:rsidP="00281D2F">
            <w:pPr>
              <w:ind w:right="516"/>
              <w:contextualSpacing/>
              <w:jc w:val="right"/>
              <w:rPr>
                <w:i/>
                <w:color w:val="000000"/>
                <w:sz w:val="20"/>
                <w:szCs w:val="20"/>
              </w:rPr>
            </w:pPr>
            <w:r w:rsidRPr="004C2227">
              <w:rPr>
                <w:i/>
                <w:color w:val="000000"/>
                <w:sz w:val="20"/>
                <w:szCs w:val="20"/>
              </w:rPr>
              <w:t>26 050</w:t>
            </w:r>
          </w:p>
        </w:tc>
      </w:tr>
      <w:tr w:rsidR="00F07183" w:rsidRPr="004C2227" w:rsidTr="00F07183">
        <w:trPr>
          <w:trHeight w:val="315"/>
        </w:trPr>
        <w:tc>
          <w:tcPr>
            <w:tcW w:w="3703" w:type="dxa"/>
            <w:tcBorders>
              <w:bottom w:val="nil"/>
            </w:tcBorders>
            <w:shd w:val="clear" w:color="auto" w:fill="auto"/>
            <w:hideMark/>
          </w:tcPr>
          <w:p w:rsidR="00F07183" w:rsidRPr="004C2227" w:rsidRDefault="00F07183" w:rsidP="004C2227">
            <w:pPr>
              <w:contextualSpacing/>
              <w:rPr>
                <w:color w:val="000000"/>
                <w:sz w:val="20"/>
                <w:szCs w:val="20"/>
              </w:rPr>
            </w:pPr>
            <w:r w:rsidRPr="004C2227">
              <w:rPr>
                <w:color w:val="000000"/>
                <w:sz w:val="20"/>
                <w:szCs w:val="20"/>
              </w:rPr>
              <w:t>Остатки сумм на текущих и карт-счетах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07183" w:rsidRDefault="00F07183" w:rsidP="002C0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11,0%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F07183" w:rsidRDefault="00F07183" w:rsidP="002C0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75,7%</w:t>
            </w:r>
          </w:p>
        </w:tc>
        <w:tc>
          <w:tcPr>
            <w:tcW w:w="1760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07183" w:rsidRPr="004C2227" w:rsidRDefault="00F07183" w:rsidP="00281D2F">
            <w:pPr>
              <w:ind w:right="516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4C2227">
              <w:rPr>
                <w:color w:val="000000"/>
                <w:sz w:val="20"/>
                <w:szCs w:val="20"/>
              </w:rPr>
              <w:t>22</w:t>
            </w:r>
          </w:p>
        </w:tc>
      </w:tr>
      <w:tr w:rsidR="00F07183" w:rsidRPr="004C2227" w:rsidTr="00F07183">
        <w:trPr>
          <w:trHeight w:val="315"/>
        </w:trPr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07183" w:rsidRPr="004C2227" w:rsidRDefault="00F07183" w:rsidP="004C2227">
            <w:pPr>
              <w:contextualSpacing/>
              <w:rPr>
                <w:color w:val="000000"/>
                <w:sz w:val="20"/>
                <w:szCs w:val="20"/>
              </w:rPr>
            </w:pPr>
            <w:r w:rsidRPr="004C2227">
              <w:rPr>
                <w:color w:val="000000"/>
                <w:sz w:val="20"/>
                <w:szCs w:val="20"/>
              </w:rPr>
              <w:t>Вклады до востребования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183" w:rsidRDefault="00F07183" w:rsidP="002C0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1,5%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183" w:rsidRDefault="00F07183" w:rsidP="002C0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13,7%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183" w:rsidRPr="004C2227" w:rsidRDefault="00F07183" w:rsidP="00281D2F">
            <w:pPr>
              <w:ind w:right="516"/>
              <w:contextualSpacing/>
              <w:jc w:val="right"/>
              <w:rPr>
                <w:sz w:val="20"/>
                <w:szCs w:val="20"/>
              </w:rPr>
            </w:pPr>
            <w:r w:rsidRPr="004C2227">
              <w:rPr>
                <w:sz w:val="20"/>
                <w:szCs w:val="20"/>
              </w:rPr>
              <w:t>16</w:t>
            </w:r>
          </w:p>
        </w:tc>
      </w:tr>
    </w:tbl>
    <w:p w:rsidR="00BD24FA" w:rsidRDefault="00BD24FA">
      <w:pPr>
        <w:spacing w:after="120" w:line="276" w:lineRule="auto"/>
        <w:ind w:firstLine="567"/>
        <w:jc w:val="both"/>
      </w:pPr>
    </w:p>
    <w:p w:rsidR="00BF5D5D" w:rsidRDefault="00E36686">
      <w:pPr>
        <w:spacing w:after="120" w:line="276" w:lineRule="auto"/>
        <w:ind w:firstLine="567"/>
        <w:jc w:val="both"/>
      </w:pPr>
      <w:r>
        <w:lastRenderedPageBreak/>
        <w:t>Г</w:t>
      </w:r>
      <w:r w:rsidRPr="00605BF6">
        <w:t>лавными составляющими в квартальной динамике депозитных портфелей</w:t>
      </w:r>
      <w:r w:rsidRPr="004E598B">
        <w:t xml:space="preserve"> банков </w:t>
      </w:r>
      <w:r>
        <w:t>явились</w:t>
      </w:r>
      <w:r w:rsidRPr="004E598B">
        <w:t xml:space="preserve"> крупные срочные вложения</w:t>
      </w:r>
      <w:r w:rsidR="00E746F9">
        <w:t xml:space="preserve"> в размере</w:t>
      </w:r>
      <w:r w:rsidR="002C00E1">
        <w:rPr>
          <w:i/>
        </w:rPr>
        <w:t xml:space="preserve"> свыше Т15 млн.,</w:t>
      </w:r>
      <w:r w:rsidR="002C00E1" w:rsidRPr="002C00E1">
        <w:rPr>
          <w:color w:val="000000"/>
        </w:rPr>
        <w:t xml:space="preserve"> </w:t>
      </w:r>
      <w:r w:rsidR="002C00E1">
        <w:rPr>
          <w:color w:val="000000"/>
        </w:rPr>
        <w:t>увеличившиеся</w:t>
      </w:r>
      <w:r w:rsidR="002C00E1" w:rsidRPr="004E598B">
        <w:rPr>
          <w:color w:val="000000"/>
        </w:rPr>
        <w:t xml:space="preserve"> на Т35 млрд. (или </w:t>
      </w:r>
      <w:r w:rsidR="002C00E1">
        <w:rPr>
          <w:color w:val="000000"/>
        </w:rPr>
        <w:t>3,7</w:t>
      </w:r>
      <w:r w:rsidR="002C00E1" w:rsidRPr="004E598B">
        <w:rPr>
          <w:color w:val="000000"/>
        </w:rPr>
        <w:t>%) до Т1 трлн.</w:t>
      </w:r>
      <w:r w:rsidR="002C00E1">
        <w:rPr>
          <w:color w:val="000000"/>
        </w:rPr>
        <w:t xml:space="preserve">, а также </w:t>
      </w:r>
      <w:r>
        <w:t xml:space="preserve">срочные депозиты </w:t>
      </w:r>
      <w:r w:rsidRPr="004E598B">
        <w:rPr>
          <w:i/>
          <w:color w:val="000000"/>
        </w:rPr>
        <w:t>до Т5 млн.</w:t>
      </w:r>
      <w:r w:rsidR="002C00E1">
        <w:rPr>
          <w:i/>
          <w:color w:val="000000"/>
        </w:rPr>
        <w:t>,</w:t>
      </w:r>
      <w:r w:rsidRPr="00F958ED">
        <w:rPr>
          <w:i/>
          <w:color w:val="000000"/>
        </w:rPr>
        <w:t xml:space="preserve"> </w:t>
      </w:r>
      <w:r w:rsidRPr="004E598B">
        <w:rPr>
          <w:color w:val="000000"/>
        </w:rPr>
        <w:t>увеличи</w:t>
      </w:r>
      <w:r w:rsidR="002C00E1">
        <w:rPr>
          <w:color w:val="000000"/>
        </w:rPr>
        <w:t>вшиеся</w:t>
      </w:r>
      <w:r w:rsidRPr="004E598B">
        <w:rPr>
          <w:color w:val="000000"/>
        </w:rPr>
        <w:t xml:space="preserve"> на Т34 млрд. (или </w:t>
      </w:r>
      <w:r>
        <w:rPr>
          <w:color w:val="000000"/>
        </w:rPr>
        <w:t>4,7</w:t>
      </w:r>
      <w:r w:rsidRPr="004E598B">
        <w:rPr>
          <w:color w:val="000000"/>
        </w:rPr>
        <w:t>%) до Т754 млрд.</w:t>
      </w:r>
      <w:r w:rsidR="00E746F9">
        <w:rPr>
          <w:color w:val="000000"/>
        </w:rPr>
        <w:t xml:space="preserve"> </w:t>
      </w:r>
      <w:r w:rsidRPr="00E36686">
        <w:t>При анализе валютной составляющей притока срочных депозитов</w:t>
      </w:r>
      <w:r w:rsidR="00E746F9">
        <w:t xml:space="preserve"> </w:t>
      </w:r>
      <w:r w:rsidR="00E746F9" w:rsidRPr="004E598B">
        <w:rPr>
          <w:i/>
          <w:color w:val="000000"/>
        </w:rPr>
        <w:t>до Т5 млн.</w:t>
      </w:r>
      <w:r w:rsidR="00E746F9">
        <w:rPr>
          <w:i/>
          <w:color w:val="000000"/>
        </w:rPr>
        <w:t xml:space="preserve"> </w:t>
      </w:r>
      <w:r w:rsidR="00E746F9">
        <w:t xml:space="preserve">и </w:t>
      </w:r>
      <w:r w:rsidR="00E746F9">
        <w:rPr>
          <w:i/>
        </w:rPr>
        <w:t xml:space="preserve">свыше Т15 млн. </w:t>
      </w:r>
      <w:r w:rsidRPr="00E36686">
        <w:t xml:space="preserve">можно отметить, что увеличение идет именно по их тенговой части </w:t>
      </w:r>
      <w:r w:rsidRPr="0007183C">
        <w:rPr>
          <w:i/>
        </w:rPr>
        <w:t xml:space="preserve">(рис. </w:t>
      </w:r>
      <w:r w:rsidR="0007183C">
        <w:rPr>
          <w:i/>
        </w:rPr>
        <w:t>2 и 3</w:t>
      </w:r>
      <w:r w:rsidRPr="0007183C">
        <w:rPr>
          <w:i/>
        </w:rPr>
        <w:t>)</w:t>
      </w:r>
      <w:r w:rsidRPr="00E36686">
        <w:t xml:space="preserve">. Более того, </w:t>
      </w:r>
      <w:r w:rsidR="0007183C">
        <w:t xml:space="preserve">по большому счету </w:t>
      </w:r>
      <w:r w:rsidRPr="00E36686">
        <w:t>за последние 2 года именно приток вкладов в национальной валюте диктовал темпы роста совокупной депозитной базы физических лиц.</w:t>
      </w:r>
      <w:r w:rsidR="0007183C">
        <w:t xml:space="preserve"> Сумма депозитов</w:t>
      </w:r>
      <w:r w:rsidR="00517FC0">
        <w:rPr>
          <w:color w:val="000000"/>
        </w:rPr>
        <w:t xml:space="preserve">, размещенных в </w:t>
      </w:r>
      <w:r w:rsidR="00517FC0" w:rsidRPr="0007183C">
        <w:rPr>
          <w:color w:val="000000"/>
        </w:rPr>
        <w:t>национальной валюте</w:t>
      </w:r>
      <w:r w:rsidR="00517FC0">
        <w:rPr>
          <w:color w:val="000000"/>
        </w:rPr>
        <w:t>,</w:t>
      </w:r>
      <w:r w:rsidR="00517FC0" w:rsidRPr="0007183C">
        <w:rPr>
          <w:color w:val="000000"/>
        </w:rPr>
        <w:t xml:space="preserve"> </w:t>
      </w:r>
      <w:r w:rsidR="0007183C">
        <w:t xml:space="preserve"> </w:t>
      </w:r>
      <w:r w:rsidR="0007183C" w:rsidRPr="004E598B">
        <w:rPr>
          <w:i/>
          <w:color w:val="000000"/>
        </w:rPr>
        <w:t>до Т5 млн.</w:t>
      </w:r>
      <w:r w:rsidR="0007183C" w:rsidRPr="0007183C">
        <w:rPr>
          <w:color w:val="000000"/>
        </w:rPr>
        <w:t xml:space="preserve"> </w:t>
      </w:r>
      <w:r w:rsidR="0007183C" w:rsidRPr="0007183C">
        <w:t>с 1 апреля 2009 г. выросла</w:t>
      </w:r>
      <w:r w:rsidR="0007183C">
        <w:t xml:space="preserve"> на 70</w:t>
      </w:r>
      <w:r w:rsidR="00D87BE4">
        <w:t>,4</w:t>
      </w:r>
      <w:r w:rsidR="0007183C">
        <w:t xml:space="preserve">%, а </w:t>
      </w:r>
      <w:r w:rsidR="0007183C">
        <w:rPr>
          <w:i/>
        </w:rPr>
        <w:t>свыше Т15 млн.</w:t>
      </w:r>
      <w:r w:rsidR="0007183C">
        <w:t xml:space="preserve"> – на 236%</w:t>
      </w:r>
      <w:r w:rsidR="00133EBB">
        <w:t xml:space="preserve"> </w:t>
      </w:r>
      <w:r w:rsidR="00133EBB" w:rsidRPr="00311814">
        <w:t xml:space="preserve">(более чем в </w:t>
      </w:r>
      <w:r w:rsidR="00D87BE4" w:rsidRPr="00311814">
        <w:t>два</w:t>
      </w:r>
      <w:r w:rsidR="00133EBB" w:rsidRPr="00311814">
        <w:t xml:space="preserve"> раза)</w:t>
      </w:r>
      <w:r w:rsidR="0007183C" w:rsidRPr="00311814">
        <w:t>.</w:t>
      </w:r>
      <w:r w:rsidR="00730391">
        <w:t xml:space="preserve"> </w:t>
      </w:r>
      <w:r w:rsidR="0007183C">
        <w:t>П</w:t>
      </w:r>
      <w:r w:rsidRPr="00E36686">
        <w:t xml:space="preserve">ри этом объем валютных сбережений </w:t>
      </w:r>
      <w:r w:rsidR="0007183C">
        <w:t>за аналогичный</w:t>
      </w:r>
      <w:r w:rsidRPr="00E36686">
        <w:t xml:space="preserve"> период </w:t>
      </w:r>
      <w:r w:rsidR="0007183C">
        <w:t>практически</w:t>
      </w:r>
      <w:r w:rsidRPr="00E36686">
        <w:t xml:space="preserve"> не изменился:</w:t>
      </w:r>
      <w:r w:rsidR="00730391">
        <w:t xml:space="preserve"> </w:t>
      </w:r>
      <w:r w:rsidR="0007183C">
        <w:t>депозит</w:t>
      </w:r>
      <w:r w:rsidR="00730391">
        <w:t>ы в размере</w:t>
      </w:r>
      <w:r w:rsidR="0007183C">
        <w:t xml:space="preserve"> </w:t>
      </w:r>
      <w:r w:rsidR="0007183C" w:rsidRPr="004E598B">
        <w:rPr>
          <w:i/>
          <w:color w:val="000000"/>
        </w:rPr>
        <w:t>до Т5 млн.</w:t>
      </w:r>
      <w:r w:rsidR="0007183C">
        <w:rPr>
          <w:color w:val="000000"/>
        </w:rPr>
        <w:t>, размещенны</w:t>
      </w:r>
      <w:r w:rsidR="00730391">
        <w:rPr>
          <w:color w:val="000000"/>
        </w:rPr>
        <w:t>е</w:t>
      </w:r>
      <w:r w:rsidR="0007183C">
        <w:rPr>
          <w:color w:val="000000"/>
        </w:rPr>
        <w:t xml:space="preserve"> в иностранной</w:t>
      </w:r>
      <w:r w:rsidR="0007183C" w:rsidRPr="0007183C">
        <w:rPr>
          <w:color w:val="000000"/>
        </w:rPr>
        <w:t xml:space="preserve"> валюте </w:t>
      </w:r>
      <w:r w:rsidR="0007183C" w:rsidRPr="0007183C">
        <w:t>выросл</w:t>
      </w:r>
      <w:r w:rsidR="00730391">
        <w:t>и только</w:t>
      </w:r>
      <w:r w:rsidR="0007183C">
        <w:t xml:space="preserve"> на 13</w:t>
      </w:r>
      <w:r w:rsidR="00D87BE4">
        <w:t>,4</w:t>
      </w:r>
      <w:r w:rsidR="0007183C">
        <w:t>%, а депозит</w:t>
      </w:r>
      <w:r w:rsidR="00730391">
        <w:t>ы</w:t>
      </w:r>
      <w:r w:rsidR="0007183C">
        <w:t xml:space="preserve"> </w:t>
      </w:r>
      <w:r w:rsidR="0007183C">
        <w:rPr>
          <w:i/>
        </w:rPr>
        <w:t>свыше Т15 млн.</w:t>
      </w:r>
      <w:r w:rsidR="0007183C">
        <w:t xml:space="preserve"> </w:t>
      </w:r>
      <w:r w:rsidR="00730391">
        <w:t>сократились</w:t>
      </w:r>
      <w:r w:rsidR="0007183C">
        <w:t xml:space="preserve"> на </w:t>
      </w:r>
      <w:r w:rsidR="009C7B46">
        <w:t>7,5</w:t>
      </w:r>
      <w:r w:rsidR="0007183C">
        <w:t>%.</w:t>
      </w:r>
      <w:r w:rsidR="00730391">
        <w:t xml:space="preserve"> </w:t>
      </w:r>
      <w:r w:rsidR="00D87BE4">
        <w:t>Таким образом, рост депозитов в национальной валюте за данный период в основном произошел за счет прихода новых вкладчиков.</w:t>
      </w:r>
      <w:r w:rsidR="00C01197">
        <w:t xml:space="preserve">  </w:t>
      </w:r>
    </w:p>
    <w:p w:rsidR="00D867CC" w:rsidRDefault="00DB6829" w:rsidP="00E36686">
      <w:pPr>
        <w:spacing w:after="120" w:line="276" w:lineRule="auto"/>
        <w:ind w:firstLine="567"/>
        <w:jc w:val="both"/>
        <w:rPr>
          <w:color w:val="000000"/>
        </w:rPr>
      </w:pPr>
      <w:r>
        <w:rPr>
          <w:noProof/>
          <w:color w:val="000000"/>
        </w:rPr>
        <w:pict>
          <v:rect id="_x0000_s1027" style="position:absolute;left:0;text-align:left;margin-left:-.5pt;margin-top:19.95pt;width:473.05pt;height:236.1pt;z-index:-251658752"/>
        </w:pict>
      </w:r>
    </w:p>
    <w:p w:rsidR="00527ECF" w:rsidRDefault="00E746F9" w:rsidP="00D867CC">
      <w:pPr>
        <w:spacing w:after="120" w:line="276" w:lineRule="auto"/>
        <w:jc w:val="both"/>
        <w:outlineLvl w:val="0"/>
        <w:rPr>
          <w:color w:val="0000CC"/>
        </w:rPr>
      </w:pPr>
      <w:r w:rsidRPr="00E746F9">
        <w:rPr>
          <w:noProof/>
        </w:rPr>
        <w:drawing>
          <wp:inline distT="0" distB="0" distL="0" distR="0">
            <wp:extent cx="5939790" cy="2952981"/>
            <wp:effectExtent l="19050" t="0" r="3810" b="0"/>
            <wp:docPr id="1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5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FC0" w:rsidRDefault="00517FC0" w:rsidP="00860D48">
      <w:pPr>
        <w:spacing w:after="120" w:line="276" w:lineRule="auto"/>
        <w:ind w:firstLine="567"/>
        <w:jc w:val="both"/>
        <w:outlineLvl w:val="0"/>
        <w:rPr>
          <w:lang w:val="en-US"/>
        </w:rPr>
      </w:pPr>
    </w:p>
    <w:p w:rsidR="002C00E1" w:rsidRPr="00517FC0" w:rsidRDefault="00517FC0" w:rsidP="00860D48">
      <w:pPr>
        <w:spacing w:after="120" w:line="276" w:lineRule="auto"/>
        <w:ind w:firstLine="567"/>
        <w:jc w:val="both"/>
        <w:outlineLvl w:val="0"/>
        <w:rPr>
          <w:color w:val="0000CC"/>
        </w:rPr>
      </w:pPr>
      <w:r>
        <w:t>Дополнительно хотелось бы отметить, что 4,6</w:t>
      </w:r>
      <w:r w:rsidRPr="002F7C2B">
        <w:t>% всех</w:t>
      </w:r>
      <w:r>
        <w:t xml:space="preserve"> розничных</w:t>
      </w:r>
      <w:r w:rsidRPr="002F7C2B">
        <w:t xml:space="preserve"> вкладов, или </w:t>
      </w:r>
      <w:r>
        <w:t>Т106,1</w:t>
      </w:r>
      <w:r w:rsidRPr="002F7C2B">
        <w:t xml:space="preserve"> млрд., в том числе суммы на текущих и карт-счетах, принадлежат руководящим работникам банков-участников, а также их акционерам, владеющих пятью и более процентами акций с правом голоса и их близких родственников.</w:t>
      </w:r>
      <w:r w:rsidR="00BD24FA">
        <w:t xml:space="preserve"> В целом за квартал такие вклады сократились на Т7,8 млрд., или 6,9%. </w:t>
      </w:r>
    </w:p>
    <w:p w:rsidR="00040BB1" w:rsidRPr="00D172E5" w:rsidRDefault="000706C4" w:rsidP="00860D48">
      <w:pPr>
        <w:spacing w:after="120" w:line="276" w:lineRule="auto"/>
        <w:ind w:firstLine="567"/>
        <w:jc w:val="both"/>
        <w:outlineLvl w:val="0"/>
      </w:pPr>
      <w:r w:rsidRPr="007657C6">
        <w:t xml:space="preserve">Совокупная сумма гарантийного возмещения по вкладам физических лиц, подлежащая выплате Фондом, по состоянию на 1 </w:t>
      </w:r>
      <w:r w:rsidR="007657C6" w:rsidRPr="007657C6">
        <w:t>апреля</w:t>
      </w:r>
      <w:r w:rsidRPr="007657C6">
        <w:t xml:space="preserve"> 2011 г. достигла Т1,1</w:t>
      </w:r>
      <w:r w:rsidR="009C7B46">
        <w:t>3</w:t>
      </w:r>
      <w:r w:rsidRPr="007657C6">
        <w:t xml:space="preserve"> трлн.</w:t>
      </w:r>
      <w:r w:rsidR="00040BB1" w:rsidRPr="007657C6">
        <w:t xml:space="preserve"> против Т8</w:t>
      </w:r>
      <w:r w:rsidR="007657C6" w:rsidRPr="007657C6">
        <w:t>97</w:t>
      </w:r>
      <w:r w:rsidR="00040BB1" w:rsidRPr="007657C6">
        <w:t xml:space="preserve"> млрд. по состоянию </w:t>
      </w:r>
      <w:r w:rsidR="00040BB1" w:rsidRPr="00D172E5">
        <w:t xml:space="preserve">на 1 </w:t>
      </w:r>
      <w:r w:rsidR="007657C6" w:rsidRPr="00D172E5">
        <w:t>апреля</w:t>
      </w:r>
      <w:r w:rsidR="00040BB1" w:rsidRPr="00D172E5">
        <w:t xml:space="preserve"> 2010 г.</w:t>
      </w:r>
      <w:r w:rsidR="007657C6" w:rsidRPr="00D172E5">
        <w:t xml:space="preserve"> (рост </w:t>
      </w:r>
      <w:r w:rsidR="009C7B46">
        <w:t>на</w:t>
      </w:r>
      <w:r w:rsidR="007657C6" w:rsidRPr="00D172E5">
        <w:t xml:space="preserve"> 26%). </w:t>
      </w:r>
      <w:r w:rsidR="00040BB1" w:rsidRPr="00D172E5">
        <w:t xml:space="preserve"> </w:t>
      </w:r>
      <w:r w:rsidRPr="00D172E5">
        <w:t xml:space="preserve"> </w:t>
      </w:r>
    </w:p>
    <w:p w:rsidR="00D01111" w:rsidRPr="00F07183" w:rsidRDefault="00D01111" w:rsidP="00860D48">
      <w:pPr>
        <w:spacing w:after="120" w:line="276" w:lineRule="auto"/>
        <w:ind w:firstLine="567"/>
        <w:jc w:val="both"/>
      </w:pPr>
      <w:r w:rsidRPr="00D172E5">
        <w:t>Финансовые ресурсы Фонда, накопленные в специальном резерве,</w:t>
      </w:r>
      <w:r w:rsidR="0004431D" w:rsidRPr="00D172E5">
        <w:t xml:space="preserve"> предназначенном для выплаты гарантийного возмещения депозиторам,</w:t>
      </w:r>
      <w:r w:rsidRPr="00D172E5">
        <w:t xml:space="preserve"> с учетом 50% уставного капитала</w:t>
      </w:r>
      <w:r w:rsidR="00193A9B" w:rsidRPr="00D172E5">
        <w:t xml:space="preserve"> Фонда</w:t>
      </w:r>
      <w:r w:rsidRPr="00D172E5">
        <w:t xml:space="preserve">, на 1 </w:t>
      </w:r>
      <w:r w:rsidR="007657C6" w:rsidRPr="00D172E5">
        <w:t>апреля</w:t>
      </w:r>
      <w:r w:rsidRPr="00D172E5">
        <w:t xml:space="preserve"> 201</w:t>
      </w:r>
      <w:r w:rsidR="00323F28" w:rsidRPr="00D172E5">
        <w:t>1</w:t>
      </w:r>
      <w:r w:rsidRPr="00D172E5">
        <w:t xml:space="preserve"> г</w:t>
      </w:r>
      <w:r w:rsidR="007657C6" w:rsidRPr="00D172E5">
        <w:t>.</w:t>
      </w:r>
      <w:r w:rsidRPr="00D172E5">
        <w:t xml:space="preserve"> достигли </w:t>
      </w:r>
      <w:r w:rsidR="00323F28" w:rsidRPr="00D172E5">
        <w:t>Т1</w:t>
      </w:r>
      <w:r w:rsidR="00D172E5" w:rsidRPr="00D172E5">
        <w:t>30,8</w:t>
      </w:r>
      <w:r w:rsidRPr="00D172E5">
        <w:t xml:space="preserve"> </w:t>
      </w:r>
      <w:r w:rsidR="00323F28" w:rsidRPr="00D172E5">
        <w:t>млрд.</w:t>
      </w:r>
      <w:r w:rsidRPr="00D172E5">
        <w:t>, что составляет 1</w:t>
      </w:r>
      <w:r w:rsidR="00323F28" w:rsidRPr="00D172E5">
        <w:t>1</w:t>
      </w:r>
      <w:r w:rsidRPr="00D172E5">
        <w:t>,</w:t>
      </w:r>
      <w:r w:rsidR="00D172E5" w:rsidRPr="00D172E5">
        <w:t>6</w:t>
      </w:r>
      <w:r w:rsidRPr="00D172E5">
        <w:t xml:space="preserve">% от совокупной </w:t>
      </w:r>
      <w:r w:rsidRPr="00D172E5">
        <w:lastRenderedPageBreak/>
        <w:t>суммы возмещения по депозитам</w:t>
      </w:r>
      <w:r w:rsidR="0062774F">
        <w:t xml:space="preserve"> физических лиц</w:t>
      </w:r>
      <w:r w:rsidRPr="00D172E5">
        <w:t>. В соответствии с законодательством целевой размер специального резерва</w:t>
      </w:r>
      <w:r w:rsidR="0004431D" w:rsidRPr="00D172E5">
        <w:t xml:space="preserve"> Фонда</w:t>
      </w:r>
      <w:r w:rsidRPr="00D172E5">
        <w:t xml:space="preserve"> составляет не менее 5% от</w:t>
      </w:r>
      <w:r w:rsidR="0004431D" w:rsidRPr="00D172E5">
        <w:t xml:space="preserve"> совокупной</w:t>
      </w:r>
      <w:r w:rsidRPr="00D172E5">
        <w:t xml:space="preserve"> суммы депозитов </w:t>
      </w:r>
      <w:r w:rsidRPr="00F07183">
        <w:t xml:space="preserve">физических лиц, на отчетную дату данный </w:t>
      </w:r>
      <w:r w:rsidR="00A74547" w:rsidRPr="00F07183">
        <w:t>показатель</w:t>
      </w:r>
      <w:r w:rsidRPr="00F07183">
        <w:t xml:space="preserve"> </w:t>
      </w:r>
      <w:r w:rsidR="00A74547" w:rsidRPr="00F07183">
        <w:t>составил</w:t>
      </w:r>
      <w:r w:rsidRPr="00F07183">
        <w:t xml:space="preserve"> </w:t>
      </w:r>
      <w:r w:rsidR="00323F28" w:rsidRPr="00F07183">
        <w:t>5</w:t>
      </w:r>
      <w:r w:rsidRPr="00F07183">
        <w:t>,</w:t>
      </w:r>
      <w:r w:rsidR="00323F28" w:rsidRPr="00F07183">
        <w:t>6</w:t>
      </w:r>
      <w:r w:rsidRPr="00F07183">
        <w:t>%.</w:t>
      </w:r>
    </w:p>
    <w:p w:rsidR="000079D9" w:rsidRDefault="00F07183" w:rsidP="00C01197">
      <w:pPr>
        <w:spacing w:after="120" w:line="276" w:lineRule="auto"/>
        <w:ind w:firstLine="567"/>
        <w:jc w:val="both"/>
      </w:pPr>
      <w:r w:rsidRPr="00F07183">
        <w:t>П</w:t>
      </w:r>
      <w:r w:rsidR="002E0A84" w:rsidRPr="00F07183">
        <w:t xml:space="preserve">о итогам отчетного </w:t>
      </w:r>
      <w:r w:rsidRPr="00F07183">
        <w:t>квартала</w:t>
      </w:r>
      <w:r w:rsidR="002E0A84" w:rsidRPr="00F07183">
        <w:t xml:space="preserve"> согласно системе расчетов дифференцированных ставок</w:t>
      </w:r>
      <w:r w:rsidR="0062774F">
        <w:t xml:space="preserve"> обязательных</w:t>
      </w:r>
      <w:r w:rsidR="002E0A84" w:rsidRPr="00F07183">
        <w:t xml:space="preserve"> календарных взносов «БАТА»,</w:t>
      </w:r>
      <w:r w:rsidR="001836BE" w:rsidRPr="00F07183">
        <w:t xml:space="preserve"> основанной на </w:t>
      </w:r>
      <w:r w:rsidRPr="00F07183">
        <w:t xml:space="preserve">ключевых финансовых показателях и </w:t>
      </w:r>
      <w:r w:rsidR="002E0A84" w:rsidRPr="00F07183">
        <w:t>определя</w:t>
      </w:r>
      <w:r w:rsidRPr="00F07183">
        <w:t>ющей</w:t>
      </w:r>
      <w:r w:rsidR="002E0A84" w:rsidRPr="00F07183">
        <w:t xml:space="preserve"> пять классификационных групп – </w:t>
      </w:r>
      <w:r w:rsidR="000079D9" w:rsidRPr="00F07183">
        <w:t>«</w:t>
      </w:r>
      <w:r w:rsidR="002E0A84" w:rsidRPr="00F07183">
        <w:rPr>
          <w:lang w:val="en-US"/>
        </w:rPr>
        <w:t>A</w:t>
      </w:r>
      <w:r w:rsidR="000079D9" w:rsidRPr="00F07183">
        <w:t>»</w:t>
      </w:r>
      <w:r w:rsidR="002E0A84" w:rsidRPr="00F07183">
        <w:t xml:space="preserve">, </w:t>
      </w:r>
      <w:r w:rsidR="000079D9" w:rsidRPr="00F07183">
        <w:t>«</w:t>
      </w:r>
      <w:r w:rsidR="002E0A84" w:rsidRPr="00F07183">
        <w:t>B</w:t>
      </w:r>
      <w:r w:rsidR="000079D9" w:rsidRPr="00F07183">
        <w:t>»</w:t>
      </w:r>
      <w:r w:rsidR="002E0A84" w:rsidRPr="00F07183">
        <w:t xml:space="preserve">, </w:t>
      </w:r>
      <w:r w:rsidR="000079D9" w:rsidRPr="00F07183">
        <w:t>«</w:t>
      </w:r>
      <w:r w:rsidR="002E0A84" w:rsidRPr="00F07183">
        <w:t>C</w:t>
      </w:r>
      <w:r w:rsidR="000079D9" w:rsidRPr="00F07183">
        <w:t>»</w:t>
      </w:r>
      <w:r w:rsidR="002E0A84" w:rsidRPr="00F07183">
        <w:t xml:space="preserve">, </w:t>
      </w:r>
      <w:r w:rsidR="000079D9" w:rsidRPr="00F07183">
        <w:t>«</w:t>
      </w:r>
      <w:r w:rsidR="002E0A84" w:rsidRPr="00F07183">
        <w:t>D</w:t>
      </w:r>
      <w:r w:rsidR="000079D9" w:rsidRPr="00F07183">
        <w:t>»</w:t>
      </w:r>
      <w:r w:rsidR="002E0A84" w:rsidRPr="00F07183">
        <w:t xml:space="preserve"> и </w:t>
      </w:r>
      <w:r w:rsidR="000079D9" w:rsidRPr="00F07183">
        <w:t>«</w:t>
      </w:r>
      <w:r w:rsidR="002E0A84" w:rsidRPr="00F07183">
        <w:t>E</w:t>
      </w:r>
      <w:r w:rsidR="000079D9" w:rsidRPr="00F07183">
        <w:t>»</w:t>
      </w:r>
      <w:r w:rsidR="002E0A84" w:rsidRPr="00F07183">
        <w:t xml:space="preserve"> </w:t>
      </w:r>
      <w:r w:rsidR="002E0A84" w:rsidRPr="00F07183">
        <w:rPr>
          <w:lang w:val="en-US"/>
        </w:rPr>
        <w:t>c</w:t>
      </w:r>
      <w:r w:rsidRPr="00F07183">
        <w:t xml:space="preserve"> со</w:t>
      </w:r>
      <w:r w:rsidR="002E0A84" w:rsidRPr="00F07183">
        <w:t>о</w:t>
      </w:r>
      <w:r w:rsidRPr="00F07183">
        <w:t xml:space="preserve">тветствующими </w:t>
      </w:r>
      <w:r w:rsidR="002E0A84" w:rsidRPr="00F07183">
        <w:t>ставками ежеквартальных</w:t>
      </w:r>
      <w:r w:rsidRPr="00F07183">
        <w:t xml:space="preserve"> взносов, большая часть банков состоит в группе «</w:t>
      </w:r>
      <w:r w:rsidRPr="00F07183">
        <w:rPr>
          <w:lang w:val="en-US"/>
        </w:rPr>
        <w:t>D</w:t>
      </w:r>
      <w:r w:rsidRPr="00F07183">
        <w:t>» с ежеквартальной ставкой – 0,19% (13 банков) и группе «</w:t>
      </w:r>
      <w:r w:rsidRPr="00F07183">
        <w:rPr>
          <w:lang w:val="en-US"/>
        </w:rPr>
        <w:t>C</w:t>
      </w:r>
      <w:r w:rsidRPr="00F07183">
        <w:t>» - с ежеквартальной ставкой – 0,11% (11 банков)</w:t>
      </w:r>
      <w:r w:rsidR="002E0A84" w:rsidRPr="00F07183">
        <w:t xml:space="preserve"> </w:t>
      </w:r>
      <w:r w:rsidRPr="00F07183">
        <w:rPr>
          <w:i/>
        </w:rPr>
        <w:t>(рис. 4)</w:t>
      </w:r>
      <w:r w:rsidRPr="00F07183">
        <w:t>.</w:t>
      </w:r>
      <w:r>
        <w:t xml:space="preserve"> За квартал </w:t>
      </w:r>
      <w:r w:rsidR="00F2037D">
        <w:t>двум банкам</w:t>
      </w:r>
      <w:r w:rsidR="0062774F">
        <w:t>-участникам</w:t>
      </w:r>
      <w:r w:rsidR="00F2037D">
        <w:t xml:space="preserve"> удалось улучшить свои показатели и перейти в группу с меньшей ставкой взноса, при этом два других банка, наоборот, перешли в группы с более высокой ставкой взноса</w:t>
      </w:r>
      <w:r w:rsidR="0062774F">
        <w:t xml:space="preserve"> в результате ухудшения своих показателей</w:t>
      </w:r>
      <w:r w:rsidR="00F2037D">
        <w:t xml:space="preserve">.  </w:t>
      </w:r>
    </w:p>
    <w:p w:rsidR="00BD24FA" w:rsidRPr="00F07183" w:rsidRDefault="00BD24FA" w:rsidP="00C01197">
      <w:pPr>
        <w:spacing w:after="120" w:line="276" w:lineRule="auto"/>
        <w:ind w:firstLine="567"/>
        <w:jc w:val="both"/>
      </w:pPr>
    </w:p>
    <w:p w:rsidR="00193A9B" w:rsidRPr="00F07183" w:rsidRDefault="003C2284" w:rsidP="001836BE">
      <w:pPr>
        <w:jc w:val="both"/>
      </w:pPr>
      <w:r w:rsidRPr="00F07183">
        <w:rPr>
          <w:noProof/>
        </w:rPr>
        <w:drawing>
          <wp:inline distT="0" distB="0" distL="0" distR="0">
            <wp:extent cx="5876925" cy="24955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836BE" w:rsidRPr="00F07183" w:rsidRDefault="001836BE" w:rsidP="001836BE">
      <w:pPr>
        <w:jc w:val="both"/>
      </w:pPr>
    </w:p>
    <w:p w:rsidR="00BD24FA" w:rsidRDefault="00BD24FA" w:rsidP="00193A9B">
      <w:pPr>
        <w:spacing w:after="120" w:line="276" w:lineRule="auto"/>
        <w:ind w:firstLine="567"/>
        <w:jc w:val="both"/>
      </w:pPr>
    </w:p>
    <w:p w:rsidR="00193A9B" w:rsidRPr="003C2284" w:rsidRDefault="00193A9B" w:rsidP="00193A9B">
      <w:pPr>
        <w:spacing w:after="120" w:line="276" w:lineRule="auto"/>
        <w:ind w:firstLine="567"/>
        <w:jc w:val="both"/>
      </w:pPr>
      <w:r w:rsidRPr="00F07183">
        <w:t>Совокупная сумма выплаченного</w:t>
      </w:r>
      <w:r w:rsidR="00A166B0">
        <w:t xml:space="preserve"> </w:t>
      </w:r>
      <w:r w:rsidR="00A166B0" w:rsidRPr="00F07183">
        <w:t>Фондом</w:t>
      </w:r>
      <w:r w:rsidRPr="00F07183">
        <w:t xml:space="preserve"> гарантийного возмещения</w:t>
      </w:r>
      <w:r w:rsidR="00A166B0">
        <w:t xml:space="preserve"> вкладчикам</w:t>
      </w:r>
      <w:r w:rsidRPr="00F07183">
        <w:t xml:space="preserve"> по состоянию на 1 </w:t>
      </w:r>
      <w:r w:rsidR="003C2284" w:rsidRPr="00F07183">
        <w:t>апреля</w:t>
      </w:r>
      <w:r w:rsidRPr="00F07183">
        <w:t xml:space="preserve"> 2011 года по</w:t>
      </w:r>
      <w:r w:rsidRPr="003C2284">
        <w:t xml:space="preserve"> Наурыз Банку составила Т679,5 млн., а по Валют</w:t>
      </w:r>
      <w:r w:rsidR="003C2284" w:rsidRPr="003C2284">
        <w:t>-Транзит Банку – Т13,9 млрд.</w:t>
      </w:r>
      <w:r w:rsidRPr="003C2284">
        <w:t xml:space="preserve"> Суммы, полученные в порядке удовлетворения требований Фонда по суммам выплаченного гарантийного возмещения к ликвидационным комиссиям Наурыз Банк</w:t>
      </w:r>
      <w:r w:rsidRPr="003C2284">
        <w:rPr>
          <w:lang w:val="kk-KZ"/>
        </w:rPr>
        <w:t>а и Валют</w:t>
      </w:r>
      <w:r w:rsidRPr="003C2284">
        <w:t>-</w:t>
      </w:r>
      <w:r w:rsidRPr="003C2284">
        <w:rPr>
          <w:lang w:val="kk-KZ"/>
        </w:rPr>
        <w:t>Транзит банка</w:t>
      </w:r>
      <w:r w:rsidRPr="003C2284">
        <w:t xml:space="preserve"> достигли Т679,4 млн. и Т4,</w:t>
      </w:r>
      <w:r w:rsidR="003C2284" w:rsidRPr="003C2284">
        <w:t>7</w:t>
      </w:r>
      <w:r w:rsidRPr="003C2284">
        <w:t xml:space="preserve"> млрд., соответственно, что составило, соответственно,  88% и 3</w:t>
      </w:r>
      <w:r w:rsidR="003C2284" w:rsidRPr="003C2284">
        <w:t>3</w:t>
      </w:r>
      <w:r w:rsidRPr="003C2284">
        <w:t>% от совокупной суммы требований Фонда к ликвидационным комиссиям данных</w:t>
      </w:r>
      <w:r w:rsidRPr="003C2284">
        <w:rPr>
          <w:lang w:val="kk-KZ"/>
        </w:rPr>
        <w:t xml:space="preserve"> банков</w:t>
      </w:r>
      <w:r w:rsidRPr="003C2284">
        <w:t xml:space="preserve">. </w:t>
      </w:r>
    </w:p>
    <w:p w:rsidR="00182D63" w:rsidRDefault="00182D63" w:rsidP="00860D48">
      <w:pPr>
        <w:spacing w:after="120" w:line="276" w:lineRule="auto"/>
        <w:ind w:firstLine="567"/>
        <w:jc w:val="both"/>
      </w:pPr>
    </w:p>
    <w:p w:rsidR="005400C3" w:rsidRDefault="005400C3" w:rsidP="00860D48">
      <w:pPr>
        <w:spacing w:after="120" w:line="276" w:lineRule="auto"/>
        <w:ind w:firstLine="567"/>
        <w:jc w:val="both"/>
      </w:pPr>
    </w:p>
    <w:p w:rsidR="00F2037D" w:rsidRDefault="00F2037D" w:rsidP="00860D48">
      <w:pPr>
        <w:spacing w:after="120" w:line="276" w:lineRule="auto"/>
        <w:ind w:firstLine="567"/>
        <w:jc w:val="both"/>
      </w:pPr>
    </w:p>
    <w:p w:rsidR="00C01197" w:rsidRDefault="00C01197" w:rsidP="00182D63">
      <w:pPr>
        <w:spacing w:before="60" w:after="60"/>
        <w:ind w:firstLine="708"/>
        <w:jc w:val="right"/>
        <w:outlineLvl w:val="0"/>
        <w:rPr>
          <w:i/>
        </w:rPr>
      </w:pPr>
    </w:p>
    <w:p w:rsidR="00311814" w:rsidRDefault="00311814" w:rsidP="00182D63">
      <w:pPr>
        <w:spacing w:before="60" w:after="60"/>
        <w:ind w:firstLine="708"/>
        <w:jc w:val="right"/>
        <w:outlineLvl w:val="0"/>
        <w:rPr>
          <w:i/>
        </w:rPr>
      </w:pPr>
    </w:p>
    <w:p w:rsidR="00311814" w:rsidRDefault="00311814" w:rsidP="00182D63">
      <w:pPr>
        <w:spacing w:before="60" w:after="60"/>
        <w:ind w:firstLine="708"/>
        <w:jc w:val="right"/>
        <w:outlineLvl w:val="0"/>
        <w:rPr>
          <w:i/>
        </w:rPr>
      </w:pPr>
    </w:p>
    <w:p w:rsidR="00182D63" w:rsidRDefault="00182D63" w:rsidP="00182D63">
      <w:pPr>
        <w:spacing w:before="60" w:after="60"/>
        <w:ind w:firstLine="708"/>
        <w:jc w:val="right"/>
        <w:outlineLvl w:val="0"/>
        <w:rPr>
          <w:i/>
        </w:rPr>
      </w:pPr>
      <w:r>
        <w:rPr>
          <w:i/>
        </w:rPr>
        <w:lastRenderedPageBreak/>
        <w:t>Приложение</w:t>
      </w:r>
    </w:p>
    <w:p w:rsidR="00182D63" w:rsidRPr="009E1FD0" w:rsidRDefault="00182D63" w:rsidP="00182D63">
      <w:pPr>
        <w:spacing w:before="60" w:after="60"/>
        <w:ind w:firstLine="708"/>
        <w:jc w:val="right"/>
        <w:outlineLvl w:val="0"/>
        <w:rPr>
          <w:i/>
        </w:rPr>
      </w:pPr>
    </w:p>
    <w:p w:rsidR="00182D63" w:rsidRPr="009E1FD0" w:rsidRDefault="00182D63" w:rsidP="00182D63">
      <w:pPr>
        <w:ind w:firstLine="709"/>
        <w:jc w:val="center"/>
        <w:outlineLvl w:val="0"/>
        <w:rPr>
          <w:b/>
        </w:rPr>
      </w:pPr>
      <w:r w:rsidRPr="009E1FD0">
        <w:rPr>
          <w:b/>
        </w:rPr>
        <w:t xml:space="preserve">Свод сведений банков-участников </w:t>
      </w:r>
      <w:r w:rsidR="00CC531F">
        <w:rPr>
          <w:b/>
        </w:rPr>
        <w:t>по</w:t>
      </w:r>
      <w:r w:rsidRPr="009E1FD0">
        <w:rPr>
          <w:b/>
        </w:rPr>
        <w:t xml:space="preserve"> депозита</w:t>
      </w:r>
      <w:r w:rsidR="00CC531F">
        <w:rPr>
          <w:b/>
        </w:rPr>
        <w:t>м</w:t>
      </w:r>
      <w:r w:rsidRPr="009E1FD0">
        <w:rPr>
          <w:b/>
        </w:rPr>
        <w:t xml:space="preserve"> физических лиц </w:t>
      </w:r>
    </w:p>
    <w:p w:rsidR="00182D63" w:rsidRDefault="00182D63" w:rsidP="00182D63">
      <w:pPr>
        <w:ind w:firstLine="709"/>
        <w:jc w:val="center"/>
      </w:pPr>
      <w:r w:rsidRPr="009E1FD0">
        <w:t xml:space="preserve">по состоянию на 1 </w:t>
      </w:r>
      <w:r w:rsidR="003C2284">
        <w:t>апреля</w:t>
      </w:r>
      <w:r w:rsidRPr="009E1FD0">
        <w:t xml:space="preserve"> 201</w:t>
      </w:r>
      <w:r w:rsidR="00CC531F">
        <w:t>1</w:t>
      </w:r>
      <w:r w:rsidRPr="009E1FD0">
        <w:t xml:space="preserve"> года</w:t>
      </w:r>
      <w:r>
        <w:t xml:space="preserve"> </w:t>
      </w:r>
    </w:p>
    <w:p w:rsidR="00182D63" w:rsidRPr="009E1FD0" w:rsidRDefault="00182D63" w:rsidP="00182D63">
      <w:pPr>
        <w:ind w:firstLine="709"/>
        <w:jc w:val="center"/>
      </w:pPr>
    </w:p>
    <w:p w:rsidR="00182D63" w:rsidRDefault="00182D63" w:rsidP="0055563C">
      <w:pPr>
        <w:spacing w:before="60" w:after="60"/>
        <w:ind w:right="423" w:firstLine="708"/>
        <w:jc w:val="right"/>
        <w:rPr>
          <w:sz w:val="20"/>
          <w:szCs w:val="20"/>
        </w:rPr>
      </w:pPr>
      <w:r w:rsidRPr="009E1FD0">
        <w:rPr>
          <w:sz w:val="20"/>
          <w:szCs w:val="20"/>
        </w:rPr>
        <w:t>тыс. тенге</w:t>
      </w:r>
    </w:p>
    <w:tbl>
      <w:tblPr>
        <w:tblW w:w="8936" w:type="dxa"/>
        <w:tblInd w:w="103" w:type="dxa"/>
        <w:tblLook w:val="04A0"/>
      </w:tblPr>
      <w:tblGrid>
        <w:gridCol w:w="856"/>
        <w:gridCol w:w="3827"/>
        <w:gridCol w:w="1843"/>
        <w:gridCol w:w="2410"/>
      </w:tblGrid>
      <w:tr w:rsidR="00F2037D" w:rsidRPr="00F2037D" w:rsidTr="00F2037D">
        <w:trPr>
          <w:trHeight w:val="6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jc w:val="center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№ </w:t>
            </w:r>
            <w:r w:rsidRPr="00F2037D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jc w:val="center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jc w:val="center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Всего депозитов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jc w:val="center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Изменение за квартал</w:t>
            </w:r>
          </w:p>
        </w:tc>
      </w:tr>
      <w:tr w:rsidR="00F2037D" w:rsidRPr="00F2037D" w:rsidTr="00F2037D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b/>
                <w:bCs/>
                <w:sz w:val="16"/>
                <w:szCs w:val="16"/>
              </w:rPr>
            </w:pPr>
            <w:r w:rsidRPr="00F2037D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b/>
                <w:bCs/>
                <w:sz w:val="16"/>
                <w:szCs w:val="16"/>
              </w:rPr>
            </w:pPr>
            <w:r w:rsidRPr="00F2037D">
              <w:rPr>
                <w:b/>
                <w:bCs/>
                <w:sz w:val="16"/>
                <w:szCs w:val="16"/>
              </w:rPr>
              <w:t>Вклады до востребования,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34 120 196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   506 020   </w:t>
            </w:r>
          </w:p>
        </w:tc>
      </w:tr>
      <w:tr w:rsidR="00F2037D" w:rsidRPr="00F2037D" w:rsidTr="00F2037D">
        <w:trPr>
          <w:trHeight w:val="2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1.1.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i/>
                <w:iCs/>
                <w:sz w:val="16"/>
                <w:szCs w:val="16"/>
              </w:rPr>
            </w:pPr>
            <w:r w:rsidRPr="00F2037D">
              <w:rPr>
                <w:i/>
                <w:iCs/>
                <w:sz w:val="16"/>
                <w:szCs w:val="16"/>
              </w:rPr>
              <w:t>в тенге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19 363 912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   731 626   </w:t>
            </w:r>
          </w:p>
        </w:tc>
      </w:tr>
      <w:tr w:rsidR="00F2037D" w:rsidRPr="00F2037D" w:rsidTr="00F2037D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1.2.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i/>
                <w:iCs/>
                <w:sz w:val="16"/>
                <w:szCs w:val="16"/>
              </w:rPr>
            </w:pPr>
            <w:r w:rsidRPr="00F2037D">
              <w:rPr>
                <w:i/>
                <w:iCs/>
                <w:sz w:val="16"/>
                <w:szCs w:val="16"/>
              </w:rPr>
              <w:t>в иностранной валюте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14 756 284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-                    225 605   </w:t>
            </w:r>
          </w:p>
        </w:tc>
      </w:tr>
      <w:tr w:rsidR="00F2037D" w:rsidRPr="00F2037D" w:rsidTr="00F2037D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b/>
                <w:bCs/>
                <w:sz w:val="16"/>
                <w:szCs w:val="16"/>
              </w:rPr>
            </w:pPr>
            <w:r w:rsidRPr="00F2037D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b/>
                <w:bCs/>
                <w:sz w:val="16"/>
                <w:szCs w:val="16"/>
              </w:rPr>
            </w:pPr>
            <w:r w:rsidRPr="00F2037D">
              <w:rPr>
                <w:b/>
                <w:bCs/>
                <w:sz w:val="16"/>
                <w:szCs w:val="16"/>
              </w:rPr>
              <w:t>Срочные и условные вклады,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2 038 188 615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85 037 630   </w:t>
            </w:r>
          </w:p>
        </w:tc>
      </w:tr>
      <w:tr w:rsidR="00F2037D" w:rsidRPr="00F2037D" w:rsidTr="00F2037D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2.1.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i/>
                <w:iCs/>
                <w:sz w:val="16"/>
                <w:szCs w:val="16"/>
              </w:rPr>
            </w:pPr>
            <w:r w:rsidRPr="00F2037D">
              <w:rPr>
                <w:i/>
                <w:iCs/>
                <w:sz w:val="16"/>
                <w:szCs w:val="16"/>
              </w:rPr>
              <w:t>в тенге,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1 084 789 687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84 434 118   </w:t>
            </w:r>
          </w:p>
        </w:tc>
      </w:tr>
      <w:tr w:rsidR="00F2037D" w:rsidRPr="00F2037D" w:rsidTr="00F2037D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 2.1.1.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7D" w:rsidRPr="00F2037D" w:rsidRDefault="00F2037D" w:rsidP="002A5922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до Т1 млн.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219 776 101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9 315 240   </w:t>
            </w:r>
          </w:p>
        </w:tc>
      </w:tr>
      <w:tr w:rsidR="00F2037D" w:rsidRPr="00F2037D" w:rsidTr="00F2037D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 2.1.2.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7D" w:rsidRPr="00F2037D" w:rsidRDefault="00F2037D" w:rsidP="002A5922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от Т1 млн.  до Т3 млн.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200 462 202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14 578 686   </w:t>
            </w:r>
          </w:p>
        </w:tc>
      </w:tr>
      <w:tr w:rsidR="00F2037D" w:rsidRPr="00F2037D" w:rsidTr="00F2037D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 2.1.3.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7D" w:rsidRPr="00F2037D" w:rsidRDefault="00F2037D" w:rsidP="002A5922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от Т3 млн.  до Т5 млн.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91 812 877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4 629 458   </w:t>
            </w:r>
          </w:p>
        </w:tc>
      </w:tr>
      <w:tr w:rsidR="00F2037D" w:rsidRPr="00F2037D" w:rsidTr="00F2037D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 2.1.4.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7D" w:rsidRPr="00F2037D" w:rsidRDefault="00F2037D" w:rsidP="002A5922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от Т5 млн.  до Т10 млн.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108 062 528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8 837 290   </w:t>
            </w:r>
          </w:p>
        </w:tc>
      </w:tr>
      <w:tr w:rsidR="00F2037D" w:rsidRPr="00F2037D" w:rsidTr="00F2037D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 2.1.5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7D" w:rsidRPr="00F2037D" w:rsidRDefault="00F2037D" w:rsidP="002A5922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от Т10 млн. до Т15 млн.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45 764 834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2 884 523   </w:t>
            </w:r>
          </w:p>
        </w:tc>
      </w:tr>
      <w:tr w:rsidR="00F2037D" w:rsidRPr="00F2037D" w:rsidTr="00F2037D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 2.1.6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7D" w:rsidRPr="00F2037D" w:rsidRDefault="00F2037D" w:rsidP="00905811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свыше Т15 млн.  тенге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418 911 145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44 188 923   </w:t>
            </w:r>
          </w:p>
        </w:tc>
      </w:tr>
      <w:tr w:rsidR="00F2037D" w:rsidRPr="00F2037D" w:rsidTr="00F2037D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2.2.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i/>
                <w:iCs/>
                <w:sz w:val="16"/>
                <w:szCs w:val="16"/>
              </w:rPr>
            </w:pPr>
            <w:r w:rsidRPr="00F2037D">
              <w:rPr>
                <w:i/>
                <w:iCs/>
                <w:sz w:val="16"/>
                <w:szCs w:val="16"/>
              </w:rPr>
              <w:t>в иностранной валюте,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953 398 928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   603 513   </w:t>
            </w:r>
          </w:p>
        </w:tc>
      </w:tr>
      <w:tr w:rsidR="00F2037D" w:rsidRPr="00F2037D" w:rsidTr="00F2037D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 2.2.1.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7D" w:rsidRPr="00F2037D" w:rsidRDefault="00F2037D" w:rsidP="002A5922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до Т1 млн.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75 132 480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1 144 679   </w:t>
            </w:r>
          </w:p>
        </w:tc>
      </w:tr>
      <w:tr w:rsidR="00F2037D" w:rsidRPr="00F2037D" w:rsidTr="00F2037D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 2.2.2.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7D" w:rsidRPr="00F2037D" w:rsidRDefault="00F2037D" w:rsidP="002A5922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от Т1 млн. до Т3 млн.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103 272 216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3 884 979   </w:t>
            </w:r>
          </w:p>
        </w:tc>
      </w:tr>
      <w:tr w:rsidR="00F2037D" w:rsidRPr="00F2037D" w:rsidTr="00F2037D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 2.2.3.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7D" w:rsidRPr="00F2037D" w:rsidRDefault="00F2037D" w:rsidP="002A5922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от Т3 млн. до Т5 млн.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63 606 310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   379 931   </w:t>
            </w:r>
          </w:p>
        </w:tc>
      </w:tr>
      <w:tr w:rsidR="00F2037D" w:rsidRPr="00F2037D" w:rsidTr="00F2037D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 2.2.4.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7D" w:rsidRPr="00F2037D" w:rsidRDefault="00F2037D" w:rsidP="002A5922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от Т5 млн. до Т10 млн.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84 288 564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1 247 046   </w:t>
            </w:r>
          </w:p>
        </w:tc>
      </w:tr>
      <w:tr w:rsidR="00F2037D" w:rsidRPr="00F2037D" w:rsidTr="00F2037D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 2.2.5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7D" w:rsidRPr="00F2037D" w:rsidRDefault="00F2037D" w:rsidP="002A5922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от Т10 млн. до Т15 млн.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46 321 328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2 791 582   </w:t>
            </w:r>
          </w:p>
        </w:tc>
      </w:tr>
      <w:tr w:rsidR="00F2037D" w:rsidRPr="00F2037D" w:rsidTr="00F2037D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 2.2.6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7D" w:rsidRPr="00F2037D" w:rsidRDefault="00F2037D" w:rsidP="002A5922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свыше Т15 млн.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580 778 030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-                 8 844 705   </w:t>
            </w:r>
          </w:p>
        </w:tc>
      </w:tr>
      <w:tr w:rsidR="00F2037D" w:rsidRPr="00F2037D" w:rsidTr="00F2037D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b/>
                <w:bCs/>
                <w:sz w:val="16"/>
                <w:szCs w:val="16"/>
              </w:rPr>
            </w:pPr>
            <w:r w:rsidRPr="00F2037D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b/>
                <w:bCs/>
                <w:sz w:val="16"/>
                <w:szCs w:val="16"/>
              </w:rPr>
            </w:pPr>
            <w:r w:rsidRPr="00F2037D">
              <w:rPr>
                <w:b/>
                <w:bCs/>
                <w:sz w:val="16"/>
                <w:szCs w:val="16"/>
              </w:rPr>
              <w:t>Остатки денег на текущих счетах (с учетом остатков денег на карт-счетах)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257 259 572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-                 5 732 555   </w:t>
            </w:r>
          </w:p>
        </w:tc>
      </w:tr>
      <w:tr w:rsidR="00F2037D" w:rsidRPr="00F2037D" w:rsidTr="00F2037D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3.1.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i/>
                <w:iCs/>
                <w:sz w:val="16"/>
                <w:szCs w:val="16"/>
              </w:rPr>
            </w:pPr>
            <w:r w:rsidRPr="00F2037D">
              <w:rPr>
                <w:i/>
                <w:iCs/>
                <w:sz w:val="16"/>
                <w:szCs w:val="16"/>
              </w:rPr>
              <w:t>в тенге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222 708 452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-                 7 913 530   </w:t>
            </w:r>
          </w:p>
        </w:tc>
      </w:tr>
      <w:tr w:rsidR="00F2037D" w:rsidRPr="00F2037D" w:rsidTr="00F2037D">
        <w:trPr>
          <w:trHeight w:val="2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>3.2.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i/>
                <w:iCs/>
                <w:sz w:val="16"/>
                <w:szCs w:val="16"/>
              </w:rPr>
            </w:pPr>
            <w:r w:rsidRPr="00F2037D">
              <w:rPr>
                <w:i/>
                <w:iCs/>
                <w:sz w:val="16"/>
                <w:szCs w:val="16"/>
              </w:rPr>
              <w:t>в иностранной валюте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34 551 120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  2 180 975   </w:t>
            </w:r>
          </w:p>
        </w:tc>
      </w:tr>
      <w:tr w:rsidR="00F2037D" w:rsidRPr="00F2037D" w:rsidTr="00F2037D">
        <w:trPr>
          <w:trHeight w:val="49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b/>
                <w:bCs/>
                <w:sz w:val="16"/>
                <w:szCs w:val="16"/>
              </w:rPr>
            </w:pPr>
            <w:r w:rsidRPr="00F203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 w:rsidP="00905811">
            <w:pPr>
              <w:rPr>
                <w:b/>
                <w:bCs/>
                <w:sz w:val="16"/>
                <w:szCs w:val="16"/>
              </w:rPr>
            </w:pPr>
            <w:r w:rsidRPr="00F2037D">
              <w:rPr>
                <w:b/>
                <w:bCs/>
                <w:sz w:val="16"/>
                <w:szCs w:val="16"/>
              </w:rPr>
              <w:t>Всего депозитов физических лиц в тенге и иностранной валюте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2 329 568 383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7D" w:rsidRPr="00F2037D" w:rsidRDefault="00F2037D">
            <w:pPr>
              <w:jc w:val="right"/>
              <w:rPr>
                <w:sz w:val="16"/>
                <w:szCs w:val="16"/>
              </w:rPr>
            </w:pPr>
            <w:r w:rsidRPr="00F2037D">
              <w:rPr>
                <w:sz w:val="16"/>
                <w:szCs w:val="16"/>
              </w:rPr>
              <w:t xml:space="preserve">                79 811 095   </w:t>
            </w:r>
          </w:p>
        </w:tc>
      </w:tr>
    </w:tbl>
    <w:p w:rsidR="00D867CC" w:rsidRPr="000706C4" w:rsidRDefault="00D867CC" w:rsidP="0055563C">
      <w:pPr>
        <w:spacing w:after="120" w:line="276" w:lineRule="auto"/>
        <w:jc w:val="both"/>
        <w:rPr>
          <w:b/>
          <w:i/>
          <w:color w:val="0000CC"/>
        </w:rPr>
      </w:pPr>
    </w:p>
    <w:sectPr w:rsidR="00D867CC" w:rsidRPr="000706C4" w:rsidSect="00E508F0">
      <w:headerReference w:type="default" r:id="rId11"/>
      <w:pgSz w:w="11906" w:h="16838"/>
      <w:pgMar w:top="170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0D0" w:rsidRDefault="00F060D0" w:rsidP="00F60CF1">
      <w:r>
        <w:separator/>
      </w:r>
    </w:p>
  </w:endnote>
  <w:endnote w:type="continuationSeparator" w:id="1">
    <w:p w:rsidR="00F060D0" w:rsidRDefault="00F060D0" w:rsidP="00F60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0D0" w:rsidRDefault="00F060D0" w:rsidP="00F60CF1">
      <w:r>
        <w:separator/>
      </w:r>
    </w:p>
  </w:footnote>
  <w:footnote w:type="continuationSeparator" w:id="1">
    <w:p w:rsidR="00F060D0" w:rsidRDefault="00F060D0" w:rsidP="00F60C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8F0" w:rsidRPr="00B31E5D" w:rsidRDefault="00E508F0" w:rsidP="00E508F0">
    <w:pPr>
      <w:pStyle w:val="af4"/>
      <w:ind w:left="709"/>
      <w:rPr>
        <w:i/>
        <w:sz w:val="18"/>
        <w:szCs w:val="18"/>
      </w:rPr>
    </w:pPr>
    <w:r w:rsidRPr="00B31E5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16510</wp:posOffset>
          </wp:positionV>
          <wp:extent cx="379095" cy="323850"/>
          <wp:effectExtent l="19050" t="0" r="1905" b="0"/>
          <wp:wrapSquare wrapText="bothSides"/>
          <wp:docPr id="2" name="Рисунок 2" descr="C:\Documents and Settings\User\Мои документы\Mои рисунки\KDIF\KDIF3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User\Мои документы\Mои рисунки\KDIF\KDIF3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31E5D">
      <w:rPr>
        <w:i/>
        <w:sz w:val="18"/>
        <w:szCs w:val="18"/>
      </w:rPr>
      <w:t xml:space="preserve">Казахстанский фонд гарантирования депозитов </w:t>
    </w:r>
  </w:p>
  <w:p w:rsidR="00E508F0" w:rsidRPr="00B31E5D" w:rsidRDefault="00E508F0" w:rsidP="00E508F0">
    <w:pPr>
      <w:pStyle w:val="af4"/>
      <w:pBdr>
        <w:bottom w:val="single" w:sz="4" w:space="1" w:color="auto"/>
      </w:pBdr>
      <w:ind w:left="709"/>
      <w:rPr>
        <w:i/>
        <w:sz w:val="18"/>
        <w:szCs w:val="18"/>
      </w:rPr>
    </w:pPr>
    <w:r w:rsidRPr="00B31E5D">
      <w:rPr>
        <w:i/>
        <w:sz w:val="18"/>
        <w:szCs w:val="18"/>
      </w:rPr>
      <w:t>Информационный обзор за 1 квартал 2011г.</w:t>
    </w:r>
  </w:p>
  <w:p w:rsidR="00E508F0" w:rsidRDefault="00E508F0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73CF8"/>
    <w:multiLevelType w:val="hybridMultilevel"/>
    <w:tmpl w:val="6622A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9866AA"/>
    <w:multiLevelType w:val="hybridMultilevel"/>
    <w:tmpl w:val="B70E11E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72063D0"/>
    <w:multiLevelType w:val="multilevel"/>
    <w:tmpl w:val="D476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B94"/>
    <w:rsid w:val="00002BF6"/>
    <w:rsid w:val="00005C62"/>
    <w:rsid w:val="000079D9"/>
    <w:rsid w:val="00013B06"/>
    <w:rsid w:val="00040BB1"/>
    <w:rsid w:val="00041CE8"/>
    <w:rsid w:val="0004431D"/>
    <w:rsid w:val="000706C4"/>
    <w:rsid w:val="0007183C"/>
    <w:rsid w:val="000855A5"/>
    <w:rsid w:val="000B7EE2"/>
    <w:rsid w:val="000C63F6"/>
    <w:rsid w:val="000C6C50"/>
    <w:rsid w:val="000E4239"/>
    <w:rsid w:val="000F20C7"/>
    <w:rsid w:val="000F55FC"/>
    <w:rsid w:val="00114145"/>
    <w:rsid w:val="00114B94"/>
    <w:rsid w:val="00131A03"/>
    <w:rsid w:val="00132AA0"/>
    <w:rsid w:val="00133EBB"/>
    <w:rsid w:val="001455D2"/>
    <w:rsid w:val="00182D63"/>
    <w:rsid w:val="001836BE"/>
    <w:rsid w:val="00193A9B"/>
    <w:rsid w:val="001C1C37"/>
    <w:rsid w:val="001D1E6A"/>
    <w:rsid w:val="001D6FB6"/>
    <w:rsid w:val="00263781"/>
    <w:rsid w:val="002653C3"/>
    <w:rsid w:val="002720B9"/>
    <w:rsid w:val="00281D2F"/>
    <w:rsid w:val="002A5922"/>
    <w:rsid w:val="002C00E1"/>
    <w:rsid w:val="002D7398"/>
    <w:rsid w:val="002E0A84"/>
    <w:rsid w:val="00311814"/>
    <w:rsid w:val="00315B8C"/>
    <w:rsid w:val="00323F28"/>
    <w:rsid w:val="0033540E"/>
    <w:rsid w:val="0034556B"/>
    <w:rsid w:val="003874D9"/>
    <w:rsid w:val="003921FB"/>
    <w:rsid w:val="003959F2"/>
    <w:rsid w:val="003C2284"/>
    <w:rsid w:val="003D511E"/>
    <w:rsid w:val="003F511B"/>
    <w:rsid w:val="00401354"/>
    <w:rsid w:val="0040234C"/>
    <w:rsid w:val="00410916"/>
    <w:rsid w:val="00434621"/>
    <w:rsid w:val="00437851"/>
    <w:rsid w:val="00472D3B"/>
    <w:rsid w:val="004859EC"/>
    <w:rsid w:val="004859F3"/>
    <w:rsid w:val="004C2227"/>
    <w:rsid w:val="004C29D1"/>
    <w:rsid w:val="004E37ED"/>
    <w:rsid w:val="00517691"/>
    <w:rsid w:val="00517FC0"/>
    <w:rsid w:val="005245A3"/>
    <w:rsid w:val="00527ECF"/>
    <w:rsid w:val="00532F51"/>
    <w:rsid w:val="005400C3"/>
    <w:rsid w:val="00552D33"/>
    <w:rsid w:val="00554CD6"/>
    <w:rsid w:val="0055563C"/>
    <w:rsid w:val="00557020"/>
    <w:rsid w:val="005644B2"/>
    <w:rsid w:val="005771C3"/>
    <w:rsid w:val="005A6FEB"/>
    <w:rsid w:val="005D3267"/>
    <w:rsid w:val="005D3AB2"/>
    <w:rsid w:val="005D6CA2"/>
    <w:rsid w:val="005E3F19"/>
    <w:rsid w:val="005E5552"/>
    <w:rsid w:val="00604512"/>
    <w:rsid w:val="0062774F"/>
    <w:rsid w:val="006314F2"/>
    <w:rsid w:val="006409D8"/>
    <w:rsid w:val="00641EA8"/>
    <w:rsid w:val="00674E07"/>
    <w:rsid w:val="006A20C3"/>
    <w:rsid w:val="006C6065"/>
    <w:rsid w:val="006E2B6F"/>
    <w:rsid w:val="006E64F6"/>
    <w:rsid w:val="007046EB"/>
    <w:rsid w:val="00717400"/>
    <w:rsid w:val="00730391"/>
    <w:rsid w:val="0074521A"/>
    <w:rsid w:val="007657C6"/>
    <w:rsid w:val="00785A2C"/>
    <w:rsid w:val="007A0A67"/>
    <w:rsid w:val="007A54F9"/>
    <w:rsid w:val="007B3621"/>
    <w:rsid w:val="007D45D7"/>
    <w:rsid w:val="00860D48"/>
    <w:rsid w:val="008A7224"/>
    <w:rsid w:val="008B6E4C"/>
    <w:rsid w:val="008D0FF2"/>
    <w:rsid w:val="008D103A"/>
    <w:rsid w:val="008D4DE5"/>
    <w:rsid w:val="00901AA1"/>
    <w:rsid w:val="009153A8"/>
    <w:rsid w:val="0096145A"/>
    <w:rsid w:val="009A1C64"/>
    <w:rsid w:val="009B0622"/>
    <w:rsid w:val="009B1DE3"/>
    <w:rsid w:val="009C0AE1"/>
    <w:rsid w:val="009C2E48"/>
    <w:rsid w:val="009C7B46"/>
    <w:rsid w:val="009C7F71"/>
    <w:rsid w:val="009E1799"/>
    <w:rsid w:val="009E6299"/>
    <w:rsid w:val="009E72C4"/>
    <w:rsid w:val="009F7BEF"/>
    <w:rsid w:val="00A009F7"/>
    <w:rsid w:val="00A0393B"/>
    <w:rsid w:val="00A166B0"/>
    <w:rsid w:val="00A37C6B"/>
    <w:rsid w:val="00A61649"/>
    <w:rsid w:val="00A63141"/>
    <w:rsid w:val="00A74547"/>
    <w:rsid w:val="00A811ED"/>
    <w:rsid w:val="00A819ED"/>
    <w:rsid w:val="00B10060"/>
    <w:rsid w:val="00B36D5A"/>
    <w:rsid w:val="00B459C1"/>
    <w:rsid w:val="00B53806"/>
    <w:rsid w:val="00BC2694"/>
    <w:rsid w:val="00BC7D40"/>
    <w:rsid w:val="00BD24FA"/>
    <w:rsid w:val="00BF5D5D"/>
    <w:rsid w:val="00C01197"/>
    <w:rsid w:val="00C249C0"/>
    <w:rsid w:val="00C42F8A"/>
    <w:rsid w:val="00C43C0C"/>
    <w:rsid w:val="00C4536C"/>
    <w:rsid w:val="00C758E3"/>
    <w:rsid w:val="00C86C40"/>
    <w:rsid w:val="00C95268"/>
    <w:rsid w:val="00CA4C5A"/>
    <w:rsid w:val="00CA70E9"/>
    <w:rsid w:val="00CA78B5"/>
    <w:rsid w:val="00CC531F"/>
    <w:rsid w:val="00D01111"/>
    <w:rsid w:val="00D11613"/>
    <w:rsid w:val="00D172E5"/>
    <w:rsid w:val="00D26AAC"/>
    <w:rsid w:val="00D6423F"/>
    <w:rsid w:val="00D723D6"/>
    <w:rsid w:val="00D775F6"/>
    <w:rsid w:val="00D8136E"/>
    <w:rsid w:val="00D867CC"/>
    <w:rsid w:val="00D87BE4"/>
    <w:rsid w:val="00D97A8D"/>
    <w:rsid w:val="00DB6829"/>
    <w:rsid w:val="00DF2710"/>
    <w:rsid w:val="00E22A16"/>
    <w:rsid w:val="00E25EFE"/>
    <w:rsid w:val="00E271C7"/>
    <w:rsid w:val="00E36686"/>
    <w:rsid w:val="00E40779"/>
    <w:rsid w:val="00E508F0"/>
    <w:rsid w:val="00E54439"/>
    <w:rsid w:val="00E56864"/>
    <w:rsid w:val="00E70D69"/>
    <w:rsid w:val="00E746F9"/>
    <w:rsid w:val="00E91704"/>
    <w:rsid w:val="00EB27FE"/>
    <w:rsid w:val="00ED42BE"/>
    <w:rsid w:val="00EE436A"/>
    <w:rsid w:val="00EF2F33"/>
    <w:rsid w:val="00EF4ACA"/>
    <w:rsid w:val="00EF5727"/>
    <w:rsid w:val="00F060D0"/>
    <w:rsid w:val="00F07183"/>
    <w:rsid w:val="00F13FAA"/>
    <w:rsid w:val="00F2037D"/>
    <w:rsid w:val="00F27DED"/>
    <w:rsid w:val="00F47BC0"/>
    <w:rsid w:val="00F52243"/>
    <w:rsid w:val="00F56B75"/>
    <w:rsid w:val="00F60CF1"/>
    <w:rsid w:val="00F62C6F"/>
    <w:rsid w:val="00F76C7C"/>
    <w:rsid w:val="00F847C1"/>
    <w:rsid w:val="00FD2358"/>
    <w:rsid w:val="00FE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867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0CF1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60C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0CF1"/>
    <w:rPr>
      <w:vertAlign w:val="superscript"/>
    </w:rPr>
  </w:style>
  <w:style w:type="paragraph" w:styleId="a6">
    <w:name w:val="Normal (Web)"/>
    <w:basedOn w:val="a"/>
    <w:uiPriority w:val="99"/>
    <w:rsid w:val="00F60CF1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</w:rPr>
  </w:style>
  <w:style w:type="paragraph" w:styleId="a7">
    <w:name w:val="caption"/>
    <w:basedOn w:val="a"/>
    <w:next w:val="a"/>
    <w:uiPriority w:val="35"/>
    <w:qFormat/>
    <w:rsid w:val="00F60CF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60C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CF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0706C4"/>
    <w:rPr>
      <w:color w:val="0000FF"/>
      <w:u w:val="single"/>
    </w:rPr>
  </w:style>
  <w:style w:type="paragraph" w:styleId="ab">
    <w:name w:val="Document Map"/>
    <w:basedOn w:val="a"/>
    <w:link w:val="ac"/>
    <w:uiPriority w:val="99"/>
    <w:semiHidden/>
    <w:unhideWhenUsed/>
    <w:rsid w:val="00D0111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0111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860D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04431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4431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44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4431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4431D"/>
    <w:rPr>
      <w:b/>
      <w:bCs/>
    </w:rPr>
  </w:style>
  <w:style w:type="table" w:styleId="af3">
    <w:name w:val="Table Grid"/>
    <w:basedOn w:val="a1"/>
    <w:uiPriority w:val="59"/>
    <w:rsid w:val="004C22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867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uthoravatar">
    <w:name w:val="author_avatar"/>
    <w:basedOn w:val="a0"/>
    <w:rsid w:val="00D867CC"/>
  </w:style>
  <w:style w:type="character" w:customStyle="1" w:styleId="submitted">
    <w:name w:val="submitted"/>
    <w:basedOn w:val="a0"/>
    <w:rsid w:val="00D867CC"/>
  </w:style>
  <w:style w:type="paragraph" w:customStyle="1" w:styleId="rtejustify">
    <w:name w:val="rtejustify"/>
    <w:basedOn w:val="a"/>
    <w:rsid w:val="00D867CC"/>
    <w:pPr>
      <w:spacing w:before="100" w:beforeAutospacing="1" w:after="100" w:afterAutospacing="1"/>
    </w:pPr>
  </w:style>
  <w:style w:type="paragraph" w:styleId="af4">
    <w:name w:val="header"/>
    <w:basedOn w:val="a"/>
    <w:link w:val="af5"/>
    <w:uiPriority w:val="99"/>
    <w:unhideWhenUsed/>
    <w:rsid w:val="00E508F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50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E508F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E508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68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&#1052;&#1086;&#1080;%20&#1076;&#1086;&#1082;&#1091;&#1084;&#1077;&#1085;&#1090;&#1099;\K.A.R.I.M.A\FUND\Data\&#1057;&#1074;&#1086;&#1076;%20&#1087;&#1086;%20&#1076;&#1077;&#1087;&#1086;&#1079;&#1080;&#1090;&#1072;&#108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&#1052;&#1086;&#1080;%20&#1076;&#1086;&#1082;&#1091;&#1084;&#1077;&#1085;&#1090;&#1099;\K.A.R.I.M.A\FUND\Analysis\2011\1%20&#1082;&#1074;&#1072;&#1088;&#1090;&#1072;&#1083;\&#1044;&#1077;&#1087;&#1086;&#1079;&#1080;&#1090;&#1099;%20&#1076;&#1083;&#1103;%20&#1072;&#1085;&#1072;&#1083;&#1080;&#1090;&#1080;&#1082;&#1080;%20&#1085;&#1072;%201%20&#1082;&#1074;%20201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Рисунок 1. Поквартальная динамика роста розничных депозитов </a:t>
            </a:r>
          </a:p>
        </c:rich>
      </c:tx>
    </c:title>
    <c:plotArea>
      <c:layout>
        <c:manualLayout>
          <c:layoutTarget val="inner"/>
          <c:xMode val="edge"/>
          <c:yMode val="edge"/>
          <c:x val="9.6853098529870285E-2"/>
          <c:y val="0.15713629221952793"/>
          <c:w val="0.83759131076213988"/>
          <c:h val="0.72074144711150312"/>
        </c:manualLayout>
      </c:layout>
      <c:barChart>
        <c:barDir val="col"/>
        <c:grouping val="clustered"/>
        <c:ser>
          <c:idx val="0"/>
          <c:order val="0"/>
          <c:tx>
            <c:strRef>
              <c:f>review!$AQ$56</c:f>
              <c:strCache>
                <c:ptCount val="1"/>
                <c:pt idx="0">
                  <c:v> I квартал</c:v>
                </c:pt>
              </c:strCache>
            </c:strRef>
          </c:tx>
          <c:spPr>
            <a:solidFill>
              <a:srgbClr val="EBE600"/>
            </a:solidFill>
            <a:ln>
              <a:solidFill>
                <a:schemeClr val="bg1">
                  <a:lumMod val="75000"/>
                </a:schemeClr>
              </a:solidFill>
            </a:ln>
          </c:spPr>
          <c:dPt>
            <c:idx val="5"/>
            <c:spPr>
              <a:solidFill>
                <a:srgbClr val="EBE600"/>
              </a:solidFill>
              <a:ln>
                <a:solidFill>
                  <a:schemeClr val="bg1">
                    <a:lumMod val="75000"/>
                  </a:schemeClr>
                </a:solidFill>
              </a:ln>
            </c:spPr>
          </c:dPt>
          <c:dPt>
            <c:idx val="6"/>
            <c:spPr>
              <a:solidFill>
                <a:srgbClr val="EBE600"/>
              </a:solidFill>
              <a:ln>
                <a:solidFill>
                  <a:schemeClr val="bg1">
                    <a:lumMod val="7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2.109062792279581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-4.2181255845591533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-4.2181255845591533E-3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7.7658931755533031E-3"/>
                </c:manualLayout>
              </c:layout>
              <c:showVal val="1"/>
            </c:dLbl>
            <c:dLbl>
              <c:idx val="6"/>
              <c:layout>
                <c:manualLayout>
                  <c:x val="-4.2181255845591533E-3"/>
                  <c:y val="0"/>
                </c:manualLayout>
              </c:layout>
              <c:showVal val="1"/>
            </c:dLbl>
            <c:numFmt formatCode="0.0%" sourceLinked="0"/>
            <c:txPr>
              <a:bodyPr/>
              <a:lstStyle/>
              <a:p>
                <a:pPr>
                  <a:defRPr b="1" i="1"/>
                </a:pPr>
                <a:endParaRPr lang="ru-RU"/>
              </a:p>
            </c:txPr>
            <c:showVal val="1"/>
          </c:dLbls>
          <c:cat>
            <c:numRef>
              <c:f>review!$AP$58:$AP$64</c:f>
              <c:numCache>
                <c:formatCode>General</c:formatCode>
                <c:ptCount val="7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</c:numCache>
            </c:numRef>
          </c:cat>
          <c:val>
            <c:numRef>
              <c:f>review!$AQ$58:$AQ$64</c:f>
              <c:numCache>
                <c:formatCode>0.0%</c:formatCode>
                <c:ptCount val="7"/>
                <c:pt idx="0">
                  <c:v>6.4126203189456554E-2</c:v>
                </c:pt>
                <c:pt idx="1">
                  <c:v>6.9684408760689556E-2</c:v>
                </c:pt>
                <c:pt idx="2">
                  <c:v>0.12176919293437316</c:v>
                </c:pt>
                <c:pt idx="3">
                  <c:v>3.5934661739821072E-2</c:v>
                </c:pt>
                <c:pt idx="4">
                  <c:v>7.6037079876400571E-2</c:v>
                </c:pt>
                <c:pt idx="5">
                  <c:v>2.0818969679974004E-2</c:v>
                </c:pt>
                <c:pt idx="6">
                  <c:v>3.5475425284188941E-2</c:v>
                </c:pt>
              </c:numCache>
            </c:numRef>
          </c:val>
        </c:ser>
        <c:ser>
          <c:idx val="1"/>
          <c:order val="1"/>
          <c:tx>
            <c:strRef>
              <c:f>review!$AR$56</c:f>
              <c:strCache>
                <c:ptCount val="1"/>
                <c:pt idx="0">
                  <c:v> II квартал</c:v>
                </c:pt>
              </c:strCache>
            </c:strRef>
          </c:tx>
          <c:spPr>
            <a:solidFill>
              <a:srgbClr val="66FF33"/>
            </a:solidFill>
            <a:ln>
              <a:solidFill>
                <a:schemeClr val="bg1">
                  <a:lumMod val="75000"/>
                </a:schemeClr>
              </a:solidFill>
            </a:ln>
          </c:spPr>
          <c:cat>
            <c:numRef>
              <c:f>review!$AP$58:$AP$64</c:f>
              <c:numCache>
                <c:formatCode>General</c:formatCode>
                <c:ptCount val="7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</c:numCache>
            </c:numRef>
          </c:cat>
          <c:val>
            <c:numRef>
              <c:f>review!$AR$58:$AR$64</c:f>
              <c:numCache>
                <c:formatCode>0.0%</c:formatCode>
                <c:ptCount val="7"/>
                <c:pt idx="0">
                  <c:v>6.8896147076901323E-2</c:v>
                </c:pt>
                <c:pt idx="1">
                  <c:v>0.17384276336501989</c:v>
                </c:pt>
                <c:pt idx="2">
                  <c:v>0.15683675443509842</c:v>
                </c:pt>
                <c:pt idx="3">
                  <c:v>-1.5463257678291153E-2</c:v>
                </c:pt>
                <c:pt idx="4">
                  <c:v>1.3127137078462291E-2</c:v>
                </c:pt>
                <c:pt idx="5">
                  <c:v>3.2166007892071385E-2</c:v>
                </c:pt>
              </c:numCache>
            </c:numRef>
          </c:val>
        </c:ser>
        <c:ser>
          <c:idx val="2"/>
          <c:order val="2"/>
          <c:tx>
            <c:strRef>
              <c:f>review!$AS$56</c:f>
              <c:strCache>
                <c:ptCount val="1"/>
                <c:pt idx="0">
                  <c:v> III квартал</c:v>
                </c:pt>
              </c:strCache>
            </c:strRef>
          </c:tx>
          <c:spPr>
            <a:solidFill>
              <a:srgbClr val="00FFFF"/>
            </a:solidFill>
            <a:ln>
              <a:solidFill>
                <a:schemeClr val="bg1">
                  <a:lumMod val="75000"/>
                </a:schemeClr>
              </a:solidFill>
            </a:ln>
          </c:spPr>
          <c:cat>
            <c:numRef>
              <c:f>review!$AP$58:$AP$64</c:f>
              <c:numCache>
                <c:formatCode>General</c:formatCode>
                <c:ptCount val="7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</c:numCache>
            </c:numRef>
          </c:cat>
          <c:val>
            <c:numRef>
              <c:f>review!$AS$58:$AS$64</c:f>
              <c:numCache>
                <c:formatCode>0.0%</c:formatCode>
                <c:ptCount val="7"/>
                <c:pt idx="0">
                  <c:v>4.2820471557033328E-2</c:v>
                </c:pt>
                <c:pt idx="1">
                  <c:v>0.13343260918008021</c:v>
                </c:pt>
                <c:pt idx="2">
                  <c:v>2.6735741911361049E-2</c:v>
                </c:pt>
                <c:pt idx="3">
                  <c:v>4.7079776661915075E-2</c:v>
                </c:pt>
                <c:pt idx="4">
                  <c:v>0.14239299336064426</c:v>
                </c:pt>
                <c:pt idx="5">
                  <c:v>4.7013421647786047E-2</c:v>
                </c:pt>
              </c:numCache>
            </c:numRef>
          </c:val>
        </c:ser>
        <c:ser>
          <c:idx val="3"/>
          <c:order val="3"/>
          <c:tx>
            <c:strRef>
              <c:f>review!$AT$56</c:f>
              <c:strCache>
                <c:ptCount val="1"/>
                <c:pt idx="0">
                  <c:v> IV квартал</c:v>
                </c:pt>
              </c:strCache>
            </c:strRef>
          </c:tx>
          <c:spPr>
            <a:solidFill>
              <a:srgbClr val="3366FF"/>
            </a:solidFill>
            <a:ln>
              <a:solidFill>
                <a:schemeClr val="bg1">
                  <a:lumMod val="75000"/>
                </a:schemeClr>
              </a:solidFill>
            </a:ln>
          </c:spPr>
          <c:cat>
            <c:numRef>
              <c:f>review!$AP$58:$AP$64</c:f>
              <c:numCache>
                <c:formatCode>General</c:formatCode>
                <c:ptCount val="7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</c:numCache>
            </c:numRef>
          </c:cat>
          <c:val>
            <c:numRef>
              <c:f>review!$AT$58:$AT$64</c:f>
              <c:numCache>
                <c:formatCode>0.0%</c:formatCode>
                <c:ptCount val="7"/>
                <c:pt idx="0">
                  <c:v>0.12323544079869816</c:v>
                </c:pt>
                <c:pt idx="1">
                  <c:v>0.24224387085381291</c:v>
                </c:pt>
                <c:pt idx="2">
                  <c:v>2.9810702890170206E-2</c:v>
                </c:pt>
                <c:pt idx="3">
                  <c:v>-2.9880863299674692E-2</c:v>
                </c:pt>
                <c:pt idx="4">
                  <c:v>3.6515234487288356E-2</c:v>
                </c:pt>
                <c:pt idx="5">
                  <c:v>5.3197989672244324E-2</c:v>
                </c:pt>
              </c:numCache>
            </c:numRef>
          </c:val>
        </c:ser>
        <c:axId val="51287168"/>
        <c:axId val="51288704"/>
      </c:barChart>
      <c:catAx>
        <c:axId val="51287168"/>
        <c:scaling>
          <c:orientation val="minMax"/>
        </c:scaling>
        <c:axPos val="b"/>
        <c:numFmt formatCode="General" sourceLinked="1"/>
        <c:tickLblPos val="low"/>
        <c:spPr>
          <a:ln>
            <a:solidFill>
              <a:schemeClr val="tx1">
                <a:lumMod val="95000"/>
                <a:lumOff val="5000"/>
              </a:schemeClr>
            </a:solidFill>
          </a:ln>
        </c:spPr>
        <c:crossAx val="51288704"/>
        <c:crosses val="autoZero"/>
        <c:auto val="1"/>
        <c:lblAlgn val="ctr"/>
        <c:lblOffset val="100"/>
      </c:catAx>
      <c:valAx>
        <c:axId val="51288704"/>
        <c:scaling>
          <c:orientation val="minMax"/>
          <c:max val="0.25"/>
        </c:scaling>
        <c:axPos val="l"/>
        <c:majorGridlines>
          <c:spPr>
            <a:ln>
              <a:prstDash val="sysDot"/>
            </a:ln>
          </c:spPr>
        </c:majorGridlines>
        <c:numFmt formatCode="0%" sourceLinked="0"/>
        <c:tickLblPos val="nextTo"/>
        <c:crossAx val="51287168"/>
        <c:crosses val="autoZero"/>
        <c:crossBetween val="between"/>
      </c:valAx>
      <c:spPr>
        <a:ln>
          <a:solidFill>
            <a:schemeClr val="tx1">
              <a:lumMod val="50000"/>
              <a:lumOff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0.65353943489584665"/>
          <c:y val="0.19709465155101921"/>
          <c:w val="0.32601642802788916"/>
          <c:h val="0.16976981325610191"/>
        </c:manualLayout>
      </c:layout>
      <c:spPr>
        <a:solidFill>
          <a:schemeClr val="bg1"/>
        </a:solidFill>
        <a:ln>
          <a:solidFill>
            <a:schemeClr val="bg1">
              <a:lumMod val="50000"/>
            </a:schemeClr>
          </a:solidFill>
        </a:ln>
      </c:spPr>
    </c:legend>
    <c:plotVisOnly val="1"/>
  </c:chart>
  <c:spPr>
    <a:ln>
      <a:solidFill>
        <a:sysClr val="windowText" lastClr="000000"/>
      </a:solidFill>
    </a:ln>
  </c:spPr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Рисунок 4. Распределение</a:t>
            </a:r>
            <a:r>
              <a:rPr lang="ru-RU" sz="1200" baseline="0"/>
              <a:t> банков в составе группы системы "БАТА"</a:t>
            </a:r>
            <a:r>
              <a:rPr lang="ru-RU" sz="1200"/>
              <a:t> </a:t>
            </a:r>
          </a:p>
        </c:rich>
      </c:tx>
    </c:title>
    <c:view3D>
      <c:rotX val="50"/>
      <c:rotY val="90"/>
      <c:perspective val="0"/>
    </c:view3D>
    <c:plotArea>
      <c:layout>
        <c:manualLayout>
          <c:layoutTarget val="inner"/>
          <c:xMode val="edge"/>
          <c:yMode val="edge"/>
          <c:x val="0.31742280189044753"/>
          <c:y val="0.23898900042074894"/>
          <c:w val="0.32841732708857208"/>
          <c:h val="0.69994229728917856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69850"/>
              <a:bevelB w="44450"/>
            </a:sp3d>
          </c:spPr>
          <c:explosion val="13"/>
          <c:dPt>
            <c:idx val="0"/>
            <c:spPr>
              <a:solidFill>
                <a:schemeClr val="bg1">
                  <a:lumMod val="50000"/>
                </a:schemeClr>
              </a:solidFill>
              <a:scene3d>
                <a:camera prst="orthographicFront"/>
                <a:lightRig rig="threePt" dir="t"/>
              </a:scene3d>
              <a:sp3d>
                <a:bevelT w="69850"/>
                <a:bevelB w="44450"/>
              </a:sp3d>
            </c:spPr>
          </c:dPt>
          <c:dPt>
            <c:idx val="1"/>
            <c:spPr>
              <a:solidFill>
                <a:srgbClr val="3366FF"/>
              </a:solidFill>
              <a:scene3d>
                <a:camera prst="orthographicFront"/>
                <a:lightRig rig="threePt" dir="t"/>
              </a:scene3d>
              <a:sp3d>
                <a:bevelT w="69850"/>
                <a:bevelB w="44450"/>
              </a:sp3d>
            </c:spPr>
          </c:dPt>
          <c:dPt>
            <c:idx val="2"/>
            <c:spPr>
              <a:solidFill>
                <a:srgbClr val="00FFFF"/>
              </a:solidFill>
              <a:scene3d>
                <a:camera prst="orthographicFront"/>
                <a:lightRig rig="threePt" dir="t"/>
              </a:scene3d>
              <a:sp3d>
                <a:bevelT w="69850"/>
                <a:bevelB w="44450"/>
              </a:sp3d>
            </c:spPr>
          </c:dPt>
          <c:dPt>
            <c:idx val="3"/>
            <c:spPr>
              <a:solidFill>
                <a:srgbClr val="00FF00"/>
              </a:solidFill>
              <a:scene3d>
                <a:camera prst="orthographicFront"/>
                <a:lightRig rig="threePt" dir="t"/>
              </a:scene3d>
              <a:sp3d>
                <a:bevelT w="69850"/>
                <a:bevelB w="44450"/>
              </a:sp3d>
            </c:spPr>
          </c:dPt>
          <c:dPt>
            <c:idx val="4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w="69850"/>
                <a:bevelB w="44450"/>
              </a:sp3d>
            </c:spPr>
          </c:dPt>
          <c:dLbls>
            <c:dLbl>
              <c:idx val="0"/>
              <c:layout>
                <c:manualLayout>
                  <c:x val="4.7501712204937097E-2"/>
                  <c:y val="-0.1023197291178296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Группа </a:t>
                    </a:r>
                    <a:r>
                      <a:rPr lang="en-US"/>
                      <a:t>A, </a:t>
                    </a:r>
                    <a:r>
                      <a:rPr lang="ru-RU"/>
                      <a:t>ставка взноса 0,04%; 1 банк</a:t>
                    </a:r>
                  </a:p>
                </c:rich>
              </c:tx>
              <c:showVal val="1"/>
              <c:showCatName val="1"/>
            </c:dLbl>
            <c:dLbl>
              <c:idx val="1"/>
              <c:layout>
                <c:manualLayout>
                  <c:x val="6.434972370755114E-2"/>
                  <c:y val="-9.699665404419867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Группа В, ставка взноса 0,08%; 3 банка</a:t>
                    </a:r>
                  </a:p>
                </c:rich>
              </c:tx>
              <c:showVal val="1"/>
              <c:showCatName val="1"/>
            </c:dLbl>
            <c:dLbl>
              <c:idx val="2"/>
              <c:layout>
                <c:manualLayout>
                  <c:x val="-0.11984141366445857"/>
                  <c:y val="-3.562340966921119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Группа С, ставка взноса 0,11%; 11 банков</a:t>
                    </a:r>
                  </a:p>
                </c:rich>
              </c:tx>
              <c:showVal val="1"/>
              <c:showCatName val="1"/>
            </c:dLbl>
            <c:dLbl>
              <c:idx val="3"/>
              <c:layout>
                <c:manualLayout>
                  <c:x val="-1.5922442433755749E-2"/>
                  <c:y val="2.03939011440363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Группа </a:t>
                    </a:r>
                    <a:r>
                      <a:rPr lang="en-US"/>
                      <a:t>D, </a:t>
                    </a:r>
                    <a:r>
                      <a:rPr lang="ru-RU"/>
                      <a:t>ставка взноса 0,19%; 13 банков</a:t>
                    </a:r>
                  </a:p>
                </c:rich>
              </c:tx>
              <c:showVal val="1"/>
              <c:showCatName val="1"/>
            </c:dLbl>
            <c:dLbl>
              <c:idx val="4"/>
              <c:layout>
                <c:manualLayout>
                  <c:x val="3.1361979266368044E-2"/>
                  <c:y val="-7.011199935885892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Группа Е, ставка взноса 0,38%; 6 банков</a:t>
                    </a:r>
                  </a:p>
                </c:rich>
              </c:tx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Лист3!$B$3:$B$7</c:f>
              <c:strCache>
                <c:ptCount val="5"/>
                <c:pt idx="0">
                  <c:v>Группа A, ставка взноса 0,04%</c:v>
                </c:pt>
                <c:pt idx="1">
                  <c:v>Группа В, ставка взноса 0,08%</c:v>
                </c:pt>
                <c:pt idx="2">
                  <c:v>Группа С, ставка взноса 0,11%</c:v>
                </c:pt>
                <c:pt idx="3">
                  <c:v>Группа D, ставка взноса 0,19%</c:v>
                </c:pt>
                <c:pt idx="4">
                  <c:v>Группа Е, ставка взноса 0,38%</c:v>
                </c:pt>
              </c:strCache>
            </c:strRef>
          </c:cat>
          <c:val>
            <c:numRef>
              <c:f>Лист3!$C$3:$C$7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11</c:v>
                </c:pt>
                <c:pt idx="3">
                  <c:v>13</c:v>
                </c:pt>
                <c:pt idx="4">
                  <c:v>6</c:v>
                </c:pt>
              </c:numCache>
            </c:numRef>
          </c:val>
        </c:ser>
      </c:pie3DChart>
    </c:plotArea>
    <c:plotVisOnly val="1"/>
  </c:chart>
  <c:spPr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95552-AF14-4F13-B8F1-A98D65E7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 Omarova</dc:creator>
  <cp:keywords/>
  <dc:description/>
  <cp:lastModifiedBy>Karima Omarova</cp:lastModifiedBy>
  <cp:revision>4</cp:revision>
  <cp:lastPrinted>2011-06-29T09:57:00Z</cp:lastPrinted>
  <dcterms:created xsi:type="dcterms:W3CDTF">2011-06-17T08:15:00Z</dcterms:created>
  <dcterms:modified xsi:type="dcterms:W3CDTF">2011-06-29T10:04:00Z</dcterms:modified>
</cp:coreProperties>
</file>