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00" w:rsidRDefault="00DE3C00" w:rsidP="00DE3C00">
      <w:pPr>
        <w:spacing w:after="0"/>
        <w:jc w:val="center"/>
      </w:pPr>
      <w:bookmarkStart w:id="0" w:name="_GoBack"/>
      <w:bookmarkEnd w:id="0"/>
      <w:r>
        <w:t>Отчет №143 за 2015 г.</w:t>
      </w:r>
    </w:p>
    <w:p w:rsidR="00C834CA" w:rsidRDefault="00DE3C00" w:rsidP="00DE3C00">
      <w:pPr>
        <w:pStyle w:val="a3"/>
        <w:numPr>
          <w:ilvl w:val="0"/>
          <w:numId w:val="1"/>
        </w:numPr>
        <w:spacing w:after="0"/>
        <w:jc w:val="center"/>
      </w:pPr>
      <w:r>
        <w:t>Информация об отчете</w:t>
      </w:r>
    </w:p>
    <w:p w:rsidR="00DE3C00" w:rsidRDefault="00DE3C00" w:rsidP="00DE3C00">
      <w:pPr>
        <w:spacing w:after="0"/>
        <w:ind w:left="360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8707"/>
      </w:tblGrid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Шаблон отчета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143 - для нефинансовых организаций (с 01.01.2016) / ранее: шаблон "422 - для нефинансовых..."; Формы финансовой отчетности, установленные приказом Министра финансов Республики Казахстан от 27 февраля 2015 года № 143 (кроме финансовых организаций)</w:t>
            </w:r>
          </w:p>
        </w:tc>
      </w:tr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Не консолидированный</w:t>
            </w:r>
          </w:p>
        </w:tc>
      </w:tr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2015</w:t>
            </w:r>
          </w:p>
        </w:tc>
      </w:tr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Метод расчета движения денежных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Прямой метод</w:t>
            </w:r>
          </w:p>
        </w:tc>
      </w:tr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Номер решения об утверждении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DE3C00" w:rsidRPr="00DE3C00" w:rsidTr="00DE3C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DE3C0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Дата решения об утверждении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DE3C0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DE3C0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16.06.2016</w:t>
            </w:r>
          </w:p>
        </w:tc>
      </w:tr>
    </w:tbl>
    <w:p w:rsidR="00DE3C00" w:rsidRDefault="00DE3C00" w:rsidP="00DE3C00">
      <w:pPr>
        <w:spacing w:after="0"/>
        <w:ind w:left="360"/>
      </w:pPr>
    </w:p>
    <w:p w:rsidR="00DE3C00" w:rsidRDefault="00DE3C00" w:rsidP="00DE3C00">
      <w:pPr>
        <w:pStyle w:val="a3"/>
        <w:numPr>
          <w:ilvl w:val="0"/>
          <w:numId w:val="1"/>
        </w:numPr>
        <w:spacing w:after="0"/>
        <w:jc w:val="center"/>
      </w:pPr>
      <w:r>
        <w:t>Базовые показатели</w:t>
      </w:r>
    </w:p>
    <w:p w:rsidR="00DE3C00" w:rsidRDefault="00DE3C00" w:rsidP="00DE3C00">
      <w:pPr>
        <w:spacing w:after="0"/>
        <w:ind w:left="360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8691"/>
      </w:tblGrid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Наименование         (рус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Default="00DE3C00" w:rsidP="00032F68">
            <w:pPr>
              <w:spacing w:after="0"/>
              <w:ind w:left="96"/>
            </w:pPr>
            <w:r>
              <w:t>АО "Казахстанский фонд гарантирования депозитов"</w:t>
            </w:r>
          </w:p>
          <w:p w:rsidR="00DE3C00" w:rsidRPr="00DE3C00" w:rsidRDefault="00DE3C00" w:rsidP="00032F68">
            <w:pPr>
              <w:spacing w:after="0" w:line="240" w:lineRule="auto"/>
              <w:ind w:left="96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Наименование (</w:t>
            </w:r>
            <w:proofErr w:type="spellStart"/>
            <w:r>
              <w:t>каз</w:t>
            </w:r>
            <w:proofErr w:type="spellEnd"/>
            <w:r>
              <w:t>. яз.)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032F68">
            <w:pPr>
              <w:spacing w:after="0" w:line="240" w:lineRule="auto"/>
              <w:ind w:left="96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t xml:space="preserve"> «</w:t>
            </w:r>
            <w:proofErr w:type="spellStart"/>
            <w:r>
              <w:t>Қазақстанның</w:t>
            </w:r>
            <w:proofErr w:type="spellEnd"/>
            <w:r>
              <w:t xml:space="preserve"> </w:t>
            </w:r>
            <w:proofErr w:type="spellStart"/>
            <w:r>
              <w:t>депозиттерге</w:t>
            </w:r>
            <w:proofErr w:type="spellEnd"/>
            <w:r>
              <w:t xml:space="preserve"> </w:t>
            </w:r>
            <w:proofErr w:type="spellStart"/>
            <w:r>
              <w:t>кепілді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беру </w:t>
            </w:r>
            <w:proofErr w:type="spellStart"/>
            <w:r>
              <w:t>қоры</w:t>
            </w:r>
            <w:proofErr w:type="spellEnd"/>
            <w:r>
              <w:t>» АҚ</w:t>
            </w:r>
          </w:p>
        </w:tc>
      </w:tr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032F68">
            <w:pPr>
              <w:spacing w:after="0"/>
              <w:ind w:left="96"/>
            </w:pPr>
            <w:r>
              <w:t>991240000414</w:t>
            </w:r>
          </w:p>
        </w:tc>
      </w:tr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Номер гос.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Default="00DE3C00" w:rsidP="00032F68">
            <w:pPr>
              <w:spacing w:after="0"/>
              <w:ind w:left="96"/>
            </w:pPr>
            <w:r>
              <w:t>2979-1910-06-АО</w:t>
            </w:r>
          </w:p>
          <w:p w:rsidR="00DE3C00" w:rsidRPr="00DE3C00" w:rsidRDefault="00DE3C00" w:rsidP="00032F68">
            <w:pPr>
              <w:spacing w:after="0" w:line="240" w:lineRule="auto"/>
              <w:ind w:left="96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Дата гос.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032F68">
            <w:pPr>
              <w:spacing w:after="0" w:line="240" w:lineRule="auto"/>
              <w:ind w:left="96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t>29.04.2013</w:t>
            </w:r>
          </w:p>
        </w:tc>
      </w:tr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DE3C00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ОПФ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3C00" w:rsidRPr="00DE3C00" w:rsidRDefault="00DE3C00" w:rsidP="00032F68">
            <w:pPr>
              <w:spacing w:after="0"/>
              <w:ind w:left="96"/>
            </w:pPr>
            <w:r>
              <w:t>Акционерное общество</w:t>
            </w:r>
          </w:p>
        </w:tc>
      </w:tr>
      <w:tr w:rsidR="00DE3C00" w:rsidRPr="00DE3C00" w:rsidTr="00DE3C00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C00" w:rsidRPr="00DE3C00" w:rsidRDefault="00032F68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2F68" w:rsidRDefault="00032F68" w:rsidP="00032F68">
            <w:pPr>
              <w:spacing w:after="0"/>
              <w:ind w:left="96"/>
            </w:pPr>
            <w:r>
              <w:t xml:space="preserve">КАЗАХСТАН; Алматы </w:t>
            </w:r>
            <w:proofErr w:type="spellStart"/>
            <w:r>
              <w:t>г.а</w:t>
            </w:r>
            <w:proofErr w:type="spellEnd"/>
            <w:r>
              <w:t xml:space="preserve">.; </w:t>
            </w:r>
            <w:proofErr w:type="spellStart"/>
            <w:r>
              <w:t>Медеуский</w:t>
            </w:r>
            <w:proofErr w:type="spellEnd"/>
            <w:r>
              <w:t xml:space="preserve"> район; 050010; г. Алматы. улица </w:t>
            </w:r>
            <w:proofErr w:type="spellStart"/>
            <w:r>
              <w:t>Д.Кунаева</w:t>
            </w:r>
            <w:proofErr w:type="spellEnd"/>
            <w:r>
              <w:t xml:space="preserve"> 181; тел: 291-38-00; факс:</w:t>
            </w:r>
            <w:proofErr w:type="gramStart"/>
            <w:r>
              <w:t xml:space="preserve"> ;</w:t>
            </w:r>
            <w:proofErr w:type="gramEnd"/>
            <w:r>
              <w:t xml:space="preserve"> e-</w:t>
            </w:r>
            <w:proofErr w:type="spellStart"/>
            <w:r>
              <w:t>mail</w:t>
            </w:r>
            <w:proofErr w:type="spellEnd"/>
            <w:r>
              <w:t xml:space="preserve">: info@kdif.kz; </w:t>
            </w:r>
            <w:proofErr w:type="spellStart"/>
            <w:r>
              <w:t>web</w:t>
            </w:r>
            <w:proofErr w:type="spellEnd"/>
            <w:r>
              <w:t xml:space="preserve">: www.kdif.kz; baltabekov@kdif.kz, aliyak@kdif.kz, khassanov@kdif.kz; </w:t>
            </w:r>
            <w:proofErr w:type="spellStart"/>
            <w:r>
              <w:t>web</w:t>
            </w:r>
            <w:proofErr w:type="spellEnd"/>
            <w:r>
              <w:t>: kdif.kz;</w:t>
            </w:r>
          </w:p>
          <w:p w:rsidR="00DE3C00" w:rsidRPr="00DE3C00" w:rsidRDefault="00DE3C00" w:rsidP="00032F68">
            <w:pPr>
              <w:spacing w:after="0" w:line="240" w:lineRule="auto"/>
              <w:ind w:left="96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3C00" w:rsidRDefault="00032F68" w:rsidP="00032F68">
      <w:pPr>
        <w:pStyle w:val="a3"/>
        <w:numPr>
          <w:ilvl w:val="0"/>
          <w:numId w:val="1"/>
        </w:numPr>
        <w:spacing w:after="0"/>
        <w:jc w:val="center"/>
      </w:pPr>
      <w:r>
        <w:t>Профиль</w:t>
      </w:r>
    </w:p>
    <w:p w:rsidR="00032F68" w:rsidRDefault="00032F68" w:rsidP="00032F68">
      <w:pPr>
        <w:spacing w:after="0"/>
        <w:jc w:val="center"/>
      </w:pPr>
    </w:p>
    <w:p w:rsidR="00032F68" w:rsidRDefault="00032F68" w:rsidP="00032F68">
      <w:pPr>
        <w:spacing w:after="0"/>
        <w:jc w:val="center"/>
      </w:pPr>
    </w:p>
    <w:p w:rsidR="00032F68" w:rsidRPr="00032F68" w:rsidRDefault="00032F68" w:rsidP="00032F68">
      <w:pPr>
        <w:spacing w:after="0"/>
        <w:jc w:val="both"/>
        <w:rPr>
          <w:lang w:val="en-US"/>
        </w:rPr>
      </w:pPr>
      <w:r>
        <w:t>Наименование</w:t>
      </w:r>
      <w:r w:rsidRPr="00032F68">
        <w:rPr>
          <w:lang w:val="en-US"/>
        </w:rPr>
        <w:t xml:space="preserve"> (</w:t>
      </w:r>
      <w:proofErr w:type="spellStart"/>
      <w:r>
        <w:t>анг</w:t>
      </w:r>
      <w:proofErr w:type="spellEnd"/>
      <w:r w:rsidRPr="00032F68">
        <w:rPr>
          <w:lang w:val="en-US"/>
        </w:rPr>
        <w:t>.</w:t>
      </w:r>
      <w:proofErr w:type="spellStart"/>
      <w:r>
        <w:t>яз</w:t>
      </w:r>
      <w:proofErr w:type="spellEnd"/>
      <w:r w:rsidRPr="00032F68">
        <w:rPr>
          <w:lang w:val="en-US"/>
        </w:rPr>
        <w:t>.)KAZAKHSTAN DEPOSIT INSURANCE FUND JSC</w:t>
      </w:r>
    </w:p>
    <w:p w:rsidR="00E46B14" w:rsidRDefault="00032F68" w:rsidP="00032F68">
      <w:pPr>
        <w:spacing w:after="0"/>
        <w:jc w:val="both"/>
      </w:pPr>
      <w:r>
        <w:t xml:space="preserve">Субъект предпринимательства Средний </w:t>
      </w:r>
    </w:p>
    <w:p w:rsidR="00E46B14" w:rsidRDefault="00032F68" w:rsidP="00032F68">
      <w:pPr>
        <w:spacing w:after="0"/>
        <w:jc w:val="both"/>
      </w:pPr>
      <w:r>
        <w:t>Среднегодовая численность работников 42</w:t>
      </w:r>
    </w:p>
    <w:p w:rsidR="00E46B14" w:rsidRDefault="00032F68" w:rsidP="00032F68">
      <w:pPr>
        <w:spacing w:after="0"/>
        <w:jc w:val="both"/>
      </w:pPr>
      <w:r>
        <w:t xml:space="preserve"> Первый руководитель</w:t>
      </w:r>
      <w:r w:rsidR="00E46B14">
        <w:t xml:space="preserve"> </w:t>
      </w:r>
      <w:proofErr w:type="spellStart"/>
      <w:r>
        <w:t>Когулов</w:t>
      </w:r>
      <w:proofErr w:type="spellEnd"/>
      <w:r>
        <w:t xml:space="preserve"> </w:t>
      </w:r>
      <w:proofErr w:type="spellStart"/>
      <w:r>
        <w:t>Бакыт</w:t>
      </w:r>
      <w:proofErr w:type="spellEnd"/>
      <w:r>
        <w:t xml:space="preserve"> </w:t>
      </w:r>
      <w:proofErr w:type="spellStart"/>
      <w:r>
        <w:t>Бектурганович</w:t>
      </w:r>
      <w:proofErr w:type="spellEnd"/>
    </w:p>
    <w:p w:rsidR="00E46B14" w:rsidRDefault="00032F68" w:rsidP="00032F68">
      <w:pPr>
        <w:spacing w:after="0"/>
        <w:jc w:val="both"/>
      </w:pPr>
      <w:r>
        <w:t>Гл. бухгалтер</w:t>
      </w:r>
      <w:r w:rsidR="00E46B14">
        <w:t xml:space="preserve"> </w:t>
      </w:r>
      <w:r>
        <w:t xml:space="preserve">Амирбекова Эльмира </w:t>
      </w:r>
      <w:proofErr w:type="spellStart"/>
      <w:r>
        <w:t>Мейрамбековна</w:t>
      </w:r>
      <w:proofErr w:type="spellEnd"/>
    </w:p>
    <w:p w:rsidR="00E46B14" w:rsidRDefault="00032F68" w:rsidP="00032F68">
      <w:pPr>
        <w:spacing w:after="0"/>
        <w:jc w:val="both"/>
      </w:pPr>
      <w:r>
        <w:t>Кем выдан сертификат главному бухгалтеру</w:t>
      </w:r>
      <w:r w:rsidR="00E46B14">
        <w:t xml:space="preserve"> </w:t>
      </w:r>
      <w:r>
        <w:t>ТОО "Институт сертифицированных финансовых менеджеров Казахстана"</w:t>
      </w:r>
    </w:p>
    <w:p w:rsidR="00E46B14" w:rsidRDefault="00032F68" w:rsidP="00032F68">
      <w:pPr>
        <w:spacing w:after="0"/>
        <w:jc w:val="both"/>
      </w:pPr>
      <w:r>
        <w:t>Дата получения сертификата главным бухгалтером</w:t>
      </w:r>
      <w:r w:rsidR="00E46B14">
        <w:t xml:space="preserve"> </w:t>
      </w:r>
      <w:r>
        <w:t>14.12.2012</w:t>
      </w:r>
    </w:p>
    <w:p w:rsidR="00E46B14" w:rsidRDefault="00032F68" w:rsidP="00032F68">
      <w:pPr>
        <w:spacing w:after="0"/>
        <w:jc w:val="both"/>
      </w:pPr>
      <w:r>
        <w:t>Номер сертификата главного бухгалтера</w:t>
      </w:r>
      <w:r w:rsidR="00E46B14">
        <w:t xml:space="preserve"> </w:t>
      </w:r>
      <w:r>
        <w:t>000157</w:t>
      </w:r>
    </w:p>
    <w:p w:rsidR="00E46B14" w:rsidRDefault="00032F68" w:rsidP="00032F68">
      <w:pPr>
        <w:spacing w:after="0"/>
        <w:jc w:val="both"/>
      </w:pPr>
      <w:r>
        <w:lastRenderedPageBreak/>
        <w:t>Участие гл. бухгалтера в профессиональной организации бухгалтеров</w:t>
      </w:r>
      <w:r w:rsidR="00E46B14">
        <w:t xml:space="preserve"> </w:t>
      </w:r>
      <w:r>
        <w:t>Профессиональная организация бухгалтеров "Союз бухгалтеров и бухгалтерских организаций Казахстана"</w:t>
      </w:r>
    </w:p>
    <w:p w:rsidR="00B15450" w:rsidRDefault="00032F68" w:rsidP="00032F68">
      <w:pPr>
        <w:spacing w:after="0"/>
        <w:jc w:val="both"/>
      </w:pPr>
      <w:r>
        <w:t>Дата вступления в ПОБ</w:t>
      </w:r>
      <w:r w:rsidR="00B15450">
        <w:t xml:space="preserve"> </w:t>
      </w:r>
      <w:r>
        <w:t>05.02.2016</w:t>
      </w:r>
    </w:p>
    <w:p w:rsidR="00B15450" w:rsidRDefault="00032F68" w:rsidP="00032F68">
      <w:pPr>
        <w:spacing w:after="0"/>
        <w:jc w:val="both"/>
      </w:pPr>
      <w:r>
        <w:t>Номер членского билета ПОБ</w:t>
      </w:r>
      <w:r w:rsidR="00B15450">
        <w:t xml:space="preserve"> </w:t>
      </w:r>
      <w:r>
        <w:t>01712</w:t>
      </w:r>
    </w:p>
    <w:p w:rsidR="00B15450" w:rsidRDefault="00032F68" w:rsidP="00032F68">
      <w:pPr>
        <w:spacing w:after="0"/>
        <w:jc w:val="both"/>
      </w:pPr>
      <w:r>
        <w:t>Отрасль</w:t>
      </w:r>
      <w:r w:rsidR="00B15450">
        <w:t xml:space="preserve"> </w:t>
      </w:r>
      <w:r>
        <w:t>Негосударственное страхование ущерба</w:t>
      </w:r>
    </w:p>
    <w:p w:rsidR="00B15450" w:rsidRDefault="00032F68" w:rsidP="00032F68">
      <w:pPr>
        <w:spacing w:after="0"/>
        <w:jc w:val="both"/>
      </w:pPr>
      <w:r>
        <w:t>Сведения о реорганизации</w:t>
      </w:r>
      <w:r w:rsidR="00B15450">
        <w:t xml:space="preserve"> </w:t>
      </w:r>
    </w:p>
    <w:p w:rsidR="00B15450" w:rsidRDefault="00032F68" w:rsidP="00032F68">
      <w:pPr>
        <w:spacing w:after="0"/>
        <w:jc w:val="both"/>
      </w:pPr>
      <w:r>
        <w:t>Отчет составлен по МСФО</w:t>
      </w:r>
      <w:proofErr w:type="gramStart"/>
      <w:r w:rsidR="00B15450">
        <w:t xml:space="preserve"> </w:t>
      </w:r>
      <w:r>
        <w:t>Д</w:t>
      </w:r>
      <w:proofErr w:type="gramEnd"/>
      <w:r>
        <w:t>а</w:t>
      </w:r>
      <w:r w:rsidR="00B15450">
        <w:t xml:space="preserve"> </w:t>
      </w:r>
    </w:p>
    <w:p w:rsidR="00B15450" w:rsidRDefault="00032F68" w:rsidP="00032F68">
      <w:pPr>
        <w:spacing w:after="0"/>
        <w:jc w:val="both"/>
      </w:pPr>
      <w:r>
        <w:t>Описание отчетности</w:t>
      </w:r>
    </w:p>
    <w:p w:rsidR="00032F68" w:rsidRDefault="00032F68" w:rsidP="00032F68">
      <w:pPr>
        <w:spacing w:after="0"/>
        <w:jc w:val="both"/>
      </w:pPr>
      <w:r>
        <w:t>Примечание</w:t>
      </w:r>
    </w:p>
    <w:p w:rsidR="00B15450" w:rsidRDefault="00B15450" w:rsidP="00032F68">
      <w:pPr>
        <w:spacing w:after="0"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6310"/>
      </w:tblGrid>
      <w:tr w:rsidR="00E46B14" w:rsidRPr="00E46B14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E46B14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Наименование</w:t>
            </w:r>
            <w:r w:rsidRPr="00032F68">
              <w:rPr>
                <w:lang w:val="en-US"/>
              </w:rPr>
              <w:t xml:space="preserve"> (</w:t>
            </w:r>
            <w:proofErr w:type="spellStart"/>
            <w:r>
              <w:t>анг</w:t>
            </w:r>
            <w:proofErr w:type="spellEnd"/>
            <w:r w:rsidRPr="00032F68">
              <w:rPr>
                <w:lang w:val="en-US"/>
              </w:rPr>
              <w:t>.</w:t>
            </w:r>
            <w:proofErr w:type="spellStart"/>
            <w:r>
              <w:t>яз</w:t>
            </w:r>
            <w:proofErr w:type="spellEnd"/>
            <w:r w:rsidRPr="00032F68">
              <w:rPr>
                <w:lang w:val="en-US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E46B14" w:rsidRDefault="00E46B14" w:rsidP="00B15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US" w:eastAsia="ru-RU"/>
              </w:rPr>
            </w:pPr>
            <w:r w:rsidRPr="00032F68">
              <w:rPr>
                <w:lang w:val="en-US"/>
              </w:rPr>
              <w:t>KAZAKHSTAN DEPOSIT INSURANCE FUND JSC</w:t>
            </w:r>
          </w:p>
        </w:tc>
      </w:tr>
      <w:tr w:rsidR="00E46B14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E46B14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Субъект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DE3C00" w:rsidRDefault="00E46B14" w:rsidP="00B15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t>Средний</w:t>
            </w:r>
          </w:p>
        </w:tc>
      </w:tr>
      <w:tr w:rsidR="00E46B14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Среднегодовая численность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E46B14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Первый 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t>Когулов</w:t>
            </w:r>
            <w:proofErr w:type="spellEnd"/>
            <w:r>
              <w:t xml:space="preserve"> </w:t>
            </w:r>
            <w:proofErr w:type="spellStart"/>
            <w:r>
              <w:t>Бакыт</w:t>
            </w:r>
            <w:proofErr w:type="spellEnd"/>
            <w:r>
              <w:t xml:space="preserve"> </w:t>
            </w:r>
            <w:proofErr w:type="spellStart"/>
            <w:r>
              <w:t>Бектурганович</w:t>
            </w:r>
            <w:proofErr w:type="spellEnd"/>
          </w:p>
        </w:tc>
      </w:tr>
      <w:tr w:rsidR="00E46B14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Гл.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t xml:space="preserve">Амирбекова Эльмира </w:t>
            </w:r>
            <w:proofErr w:type="spellStart"/>
            <w:r>
              <w:t>Мейрамбековна</w:t>
            </w:r>
            <w:proofErr w:type="spellEnd"/>
          </w:p>
        </w:tc>
      </w:tr>
      <w:tr w:rsidR="00E46B14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Кем выдан сертификат главному бухгалтеру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B15450" w:rsidRDefault="00B15450" w:rsidP="00B15450">
            <w:pPr>
              <w:spacing w:after="0"/>
            </w:pPr>
            <w:r>
              <w:t>ТОО "Институт сертифицированных финансовых менеджеров Казахстана"</w:t>
            </w:r>
          </w:p>
        </w:tc>
      </w:tr>
      <w:tr w:rsidR="00E46B14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Дата получения сертификата главным бухгалтером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6B14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>
              <w:t>14.12.2012</w:t>
            </w:r>
          </w:p>
        </w:tc>
      </w:tr>
      <w:tr w:rsidR="00B15450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5450" w:rsidRPr="00DE3C00" w:rsidRDefault="00B15450" w:rsidP="00B15450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>
              <w:t>Участие гл. бухгалтера в профессиональной организации бухгалтеров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5450" w:rsidRPr="00B15450" w:rsidRDefault="00B15450" w:rsidP="00B15450">
            <w:pPr>
              <w:spacing w:after="0"/>
            </w:pPr>
            <w:r>
              <w:t>Профессиональная организация бухгалтеров "Союз бухгалтеров и бухгалтерских организаций Казахстана"</w:t>
            </w:r>
          </w:p>
        </w:tc>
      </w:tr>
      <w:tr w:rsidR="00B15450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5450" w:rsidRDefault="00B15450" w:rsidP="00B15450">
            <w:pPr>
              <w:spacing w:after="0" w:line="240" w:lineRule="auto"/>
            </w:pPr>
            <w:r>
              <w:t>Отрасль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5450" w:rsidRDefault="00B15450" w:rsidP="00B15450">
            <w:pPr>
              <w:spacing w:after="0"/>
            </w:pPr>
            <w:r>
              <w:t>Негосударственное страхование ущерба</w:t>
            </w:r>
          </w:p>
        </w:tc>
      </w:tr>
      <w:tr w:rsidR="00B15450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5450" w:rsidRDefault="00B15450" w:rsidP="00B15450">
            <w:pPr>
              <w:spacing w:after="0"/>
            </w:pPr>
            <w:r>
              <w:t xml:space="preserve">Сведения о реорганизации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5450" w:rsidRDefault="00B15450" w:rsidP="00B15450">
            <w:pPr>
              <w:spacing w:after="0"/>
            </w:pPr>
          </w:p>
        </w:tc>
      </w:tr>
      <w:tr w:rsidR="00B15450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5450" w:rsidRDefault="00B15450" w:rsidP="00B15450">
            <w:pPr>
              <w:spacing w:after="0"/>
            </w:pPr>
            <w:r>
              <w:t>Отчет составлен по МСФО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5450" w:rsidRDefault="00B15450" w:rsidP="00B15450">
            <w:pPr>
              <w:spacing w:after="0"/>
            </w:pPr>
            <w:r>
              <w:t>Да</w:t>
            </w:r>
          </w:p>
        </w:tc>
      </w:tr>
      <w:tr w:rsidR="00B15450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5450" w:rsidRDefault="00B15450" w:rsidP="00B15450">
            <w:pPr>
              <w:spacing w:after="0"/>
            </w:pPr>
            <w:r>
              <w:t>Описание отчетности</w:t>
            </w:r>
          </w:p>
          <w:p w:rsidR="00B15450" w:rsidRDefault="00B15450" w:rsidP="00B15450">
            <w:pPr>
              <w:spacing w:after="0"/>
            </w:pPr>
            <w:r>
              <w:t>Примечание</w:t>
            </w:r>
          </w:p>
          <w:p w:rsidR="00B15450" w:rsidRDefault="00B15450" w:rsidP="00B15450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5450" w:rsidRDefault="00B15450" w:rsidP="00B15450">
            <w:pPr>
              <w:spacing w:after="0"/>
            </w:pPr>
          </w:p>
        </w:tc>
      </w:tr>
      <w:tr w:rsidR="00B15450" w:rsidRPr="00DE3C00" w:rsidTr="00FD6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5450" w:rsidRDefault="00B15450" w:rsidP="00FD663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5450" w:rsidRDefault="00B15450" w:rsidP="00FD6635">
            <w:pPr>
              <w:spacing w:after="0" w:line="240" w:lineRule="auto"/>
            </w:pPr>
          </w:p>
        </w:tc>
      </w:tr>
    </w:tbl>
    <w:p w:rsidR="00E46B14" w:rsidRDefault="00B15450" w:rsidP="00B15450">
      <w:pPr>
        <w:pStyle w:val="a3"/>
        <w:numPr>
          <w:ilvl w:val="0"/>
          <w:numId w:val="1"/>
        </w:numPr>
        <w:spacing w:after="0"/>
        <w:jc w:val="center"/>
      </w:pPr>
      <w:r>
        <w:t>Совет директоров</w:t>
      </w:r>
    </w:p>
    <w:p w:rsidR="00B15450" w:rsidRDefault="00B15450" w:rsidP="00B15450">
      <w:pPr>
        <w:pStyle w:val="a3"/>
        <w:spacing w:after="0"/>
      </w:pPr>
    </w:p>
    <w:tbl>
      <w:tblPr>
        <w:tblW w:w="0" w:type="auto"/>
        <w:tblInd w:w="4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2619"/>
        <w:gridCol w:w="2817"/>
      </w:tblGrid>
      <w:tr w:rsidR="00394FAE" w:rsidRPr="00394FAE" w:rsidTr="00394FAE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Дата решения об избрании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Номер решения об избрании</w:t>
            </w:r>
          </w:p>
        </w:tc>
      </w:tr>
      <w:tr w:rsidR="00394FAE" w:rsidRPr="00394FAE" w:rsidTr="00394FA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Смоляков Олег Александрович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  <w:tr w:rsidR="00394FAE" w:rsidRPr="00394FAE" w:rsidTr="00394FA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Когулов</w:t>
            </w:r>
            <w:proofErr w:type="spellEnd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Бакыт</w:t>
            </w:r>
            <w:proofErr w:type="spellEnd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Бектурганович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  <w:tr w:rsidR="00394FAE" w:rsidRPr="00394FAE" w:rsidTr="00394FA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Ауэзов</w:t>
            </w:r>
            <w:proofErr w:type="spellEnd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Магжан</w:t>
            </w:r>
            <w:proofErr w:type="spellEnd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Муратович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</w:tbl>
    <w:p w:rsidR="00B15450" w:rsidRDefault="00B15450" w:rsidP="00032F68">
      <w:pPr>
        <w:spacing w:after="0"/>
        <w:jc w:val="both"/>
      </w:pPr>
    </w:p>
    <w:p w:rsidR="00394FAE" w:rsidRDefault="00394FAE" w:rsidP="00394FAE">
      <w:pPr>
        <w:pStyle w:val="a3"/>
        <w:numPr>
          <w:ilvl w:val="0"/>
          <w:numId w:val="1"/>
        </w:numPr>
        <w:spacing w:after="0"/>
        <w:jc w:val="center"/>
      </w:pPr>
      <w:r>
        <w:t>Акции</w:t>
      </w:r>
    </w:p>
    <w:p w:rsidR="00394FAE" w:rsidRDefault="00394FAE" w:rsidP="00394FAE">
      <w:pPr>
        <w:spacing w:after="0"/>
        <w:jc w:val="center"/>
      </w:pPr>
    </w:p>
    <w:p w:rsidR="00394FAE" w:rsidRDefault="00394FAE" w:rsidP="00394FAE">
      <w:pPr>
        <w:spacing w:after="0"/>
        <w:jc w:val="center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18"/>
      </w:tblGrid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Объявленные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простые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974358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Объявленные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привилегированные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Размещенные простые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974358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Размещенные привилегированные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lastRenderedPageBreak/>
              <w:t>Выкупленные простые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Выкупленные привилегированные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В госсобственности </w:t>
            </w: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простые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974358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В госсобственности </w:t>
            </w: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привилегированные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Объявленные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974358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Размещенные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974358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proofErr w:type="gram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Выкупленные</w:t>
            </w:r>
            <w:proofErr w:type="gram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В госсобственности всего (шт.)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974358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В госсобственности всего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НИН простых акций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KZ1C42180014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НИН привилегированных акций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 xml:space="preserve">Номинальная стоимость акции, </w:t>
            </w:r>
            <w:proofErr w:type="spellStart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тг</w:t>
            </w:r>
            <w:proofErr w:type="spellEnd"/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</w:tr>
      <w:tr w:rsidR="00394FAE" w:rsidRPr="00394FAE" w:rsidTr="00394F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808080"/>
                <w:sz w:val="20"/>
                <w:szCs w:val="20"/>
                <w:lang w:eastAsia="ru-RU"/>
              </w:rPr>
              <w:t>Регистратор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АО "ЕДИНЫЙ РЕГИСТРАТОР ЦЕННЫХ БУМАГ"</w:t>
            </w:r>
          </w:p>
        </w:tc>
      </w:tr>
    </w:tbl>
    <w:p w:rsidR="00394FAE" w:rsidRPr="00394FAE" w:rsidRDefault="00394FAE" w:rsidP="00394F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465"/>
        <w:gridCol w:w="1763"/>
        <w:gridCol w:w="1312"/>
        <w:gridCol w:w="1405"/>
      </w:tblGrid>
      <w:tr w:rsidR="00394FAE" w:rsidRPr="00394FAE" w:rsidTr="00394FAE">
        <w:trPr>
          <w:tblHeader/>
        </w:trPr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Номер выпуска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Дата выпуска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(шт.)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Дата отчета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07.07.2000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08.09.2000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29.06.2007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13.12.2007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25.12.2007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27.02.2008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01.08.2008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15.12.2008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15.12.2008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17.02.2009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03.07.2009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05.11.2009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15.11.2010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10.03.2011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13.12.2011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60500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17.04.2012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29.10.2012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66550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07.03.2013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13.12.2013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73205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09.06.2014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25.11.2014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80525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05.01.2015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FAE" w:rsidRPr="00394FAE" w:rsidTr="00394FAE"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12.05.2015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88578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03.07.2015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4FAE" w:rsidRDefault="00394FAE" w:rsidP="00394FAE">
      <w:pPr>
        <w:spacing w:after="0"/>
        <w:jc w:val="both"/>
      </w:pPr>
    </w:p>
    <w:p w:rsidR="00394FAE" w:rsidRDefault="00394FAE" w:rsidP="00394FAE">
      <w:pPr>
        <w:spacing w:after="0"/>
        <w:jc w:val="both"/>
      </w:pPr>
    </w:p>
    <w:p w:rsidR="00394FAE" w:rsidRDefault="00394FAE" w:rsidP="00394FAE">
      <w:pPr>
        <w:pStyle w:val="a3"/>
        <w:numPr>
          <w:ilvl w:val="0"/>
          <w:numId w:val="1"/>
        </w:numPr>
        <w:spacing w:after="0"/>
        <w:jc w:val="center"/>
      </w:pPr>
      <w:r>
        <w:t>Акционеры/участники</w:t>
      </w:r>
    </w:p>
    <w:p w:rsidR="00394FAE" w:rsidRDefault="00394FAE" w:rsidP="00394FAE">
      <w:pPr>
        <w:spacing w:after="0"/>
        <w:jc w:val="center"/>
      </w:pPr>
    </w:p>
    <w:tbl>
      <w:tblPr>
        <w:tblW w:w="0" w:type="auto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9"/>
        <w:gridCol w:w="1728"/>
        <w:gridCol w:w="1872"/>
        <w:gridCol w:w="819"/>
      </w:tblGrid>
      <w:tr w:rsidR="00394FAE" w:rsidRPr="00394FAE" w:rsidTr="00394FAE">
        <w:trPr>
          <w:tblHeader/>
        </w:trPr>
        <w:tc>
          <w:tcPr>
            <w:tcW w:w="6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Наименование/Ф.И.О.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Тип лица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Признак </w:t>
            </w:r>
            <w:proofErr w:type="spell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резидентства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Доля</w:t>
            </w:r>
            <w:proofErr w:type="gramStart"/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394FAE" w:rsidRPr="00394FAE" w:rsidTr="00394FAE">
        <w:tc>
          <w:tcPr>
            <w:tcW w:w="6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270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Рес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публиканское государственное уч</w:t>
            </w: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реждение Национальный Банк Республики Казахстан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Резидент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4FAE" w:rsidRPr="00394FAE" w:rsidRDefault="00394FAE" w:rsidP="00394F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394FA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FD6635" w:rsidRDefault="00FD6635" w:rsidP="00FD6635">
      <w:pPr>
        <w:shd w:val="clear" w:color="auto" w:fill="FFFFFF"/>
        <w:spacing w:after="0" w:line="240" w:lineRule="auto"/>
      </w:pPr>
    </w:p>
    <w:p w:rsidR="00FD6635" w:rsidRDefault="00FD6635" w:rsidP="00FD663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  <w:r>
        <w:t>7. Финансовая отчетность</w:t>
      </w:r>
    </w:p>
    <w:p w:rsidR="00FD6635" w:rsidRDefault="00FD6635" w:rsidP="00FD66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</w:p>
    <w:p w:rsidR="00FD6635" w:rsidRDefault="00FD6635" w:rsidP="00FD66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</w:p>
    <w:p w:rsidR="00FD6635" w:rsidRPr="00FD6635" w:rsidRDefault="00FD6635" w:rsidP="00FD66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  <w:r w:rsidRPr="00FD6635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  <w:t>Бухгалтерский баланс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878"/>
        <w:gridCol w:w="2052"/>
        <w:gridCol w:w="2113"/>
      </w:tblGrid>
      <w:tr w:rsidR="00FD6635" w:rsidRPr="00FD6635" w:rsidTr="00FD6635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На конец отчетного периода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На начало отчетного периода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Активы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I. Краткосрочные активы: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79 576 372,63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5 875 525,18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Финансовые активы, имеющиеся в наличии для продажи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80 027 082,81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60 283 871,73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Финансовые активы, учитываемые по справедливой стоимости через прибыли и убытки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краткосрочные финансовые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Краткосрочная торговая и прочая дебиторская задолженность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2 621 974,46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2 779 584,06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Текущий подоходный налог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142 141,17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150 121,17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Запасы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1 909,91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1 706,86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краткосрочные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6 543,77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5 498,33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Итого краткосрочных активов (сумма строк с 010 по 019)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162 376 024,75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69 096 307,33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Активы (или выбывающие группы), предназначенные для продажи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II. Долгосрочные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Финансовые активы, имеющиеся в наличии для продажи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361 733 184,95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347 767 561,22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Финансовые активы, учитываемые по справедливой стоимости через прибыли и убытки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долгосрочные финансовые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Долгосрочная торговая и прочая дебиторская задолженность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Инвестиции, учитываемые методом долевого участия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Инвестиционное имущество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28 626,17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10 132,39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Биологические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Разведочные и оценочные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15 004,93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25 072,26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9 787,66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4 869,77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долгосрочные активы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Итого долгосрочных активов (сумма строк с 110 по 123)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361 786 603,71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347 807 635,64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Баланс (строка 100 +строка 101+ строка 200)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524 162 628,46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416 903 942,97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Обязательство и капитал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III.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Займы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краткосрочные финансовые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Краткосрочная торговая и прочая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1 026 043,30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2 311 300,13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Краткосрочные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Текущие налоговые обязательства по подоходному налогу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Вознаграждения работникам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2 831,97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2 638,08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52 005,82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28 013,27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Итого краткосрочных обязательств (сумма строк с 210 по 217)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1 080 881,09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2 341 951,48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Обязательства выбывающих групп, предназначенных для продажи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Займы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долгосрочные финансовые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Долгосрочная торговая и прочая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Долгосрочные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Итого долгосрочных обязательств (сумма строк с 310 по 316)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V. Капитал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Уставный (акционерный) капитал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194 871 600,00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177 156 000,00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Эмиссионный доход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Выкупленные собственные долевые инструменты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252 316 875,00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218 263 537,37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75 893 272,36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19 142 454,12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Итого капитал, относимый на собственников материнской организации (сумма строк с 410 по 414)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523 081 747,36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414 561 991,49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Доля неконтролирующих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Всего капитал (строка 420 +/- строка 421)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523 081 747,36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414 561 991,49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Баланс (строка 300+строка 301+строка 400 + строка 500)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524 162 628,45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416 903 942,97</w:t>
            </w:r>
          </w:p>
        </w:tc>
      </w:tr>
    </w:tbl>
    <w:p w:rsidR="00394FAE" w:rsidRDefault="00394FAE" w:rsidP="00394FAE">
      <w:pPr>
        <w:spacing w:after="0"/>
        <w:jc w:val="center"/>
      </w:pPr>
    </w:p>
    <w:p w:rsidR="00FD6635" w:rsidRPr="00FD6635" w:rsidRDefault="00FD6635" w:rsidP="00FD66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  <w:r w:rsidRPr="00FD6635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  <w:t>Отчет о прибылях и убытках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4"/>
        <w:gridCol w:w="822"/>
        <w:gridCol w:w="1461"/>
        <w:gridCol w:w="1616"/>
      </w:tblGrid>
      <w:tr w:rsidR="00FD6635" w:rsidRPr="00FD6635" w:rsidTr="00FD6635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За предыдущий период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Выручка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Себестоимость реализованных товаров и услуг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Валовая прибыль (строка 010 – строка 011)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Расходы по реализации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Административные расходы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576 482,79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405 606,44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42 761 616,02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3 309 217,35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107 720 070,69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14 897 598,73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Итого операционная прибыль (убыток</w:t>
            </w:r>
            <w:proofErr w:type="gramStart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 xml:space="preserve">) (+/- </w:t>
            </w:r>
            <w:proofErr w:type="gramEnd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строки с 012 по 016)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64 381 971,88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11 182 774,94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Доходы по финансированию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22 148 934,27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16 464 103,69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Расходы по финансированию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Прочие </w:t>
            </w:r>
            <w:proofErr w:type="spellStart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неоперационные</w:t>
            </w:r>
            <w:proofErr w:type="spellEnd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 доходы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Прочие </w:t>
            </w:r>
            <w:proofErr w:type="spellStart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неоперационные</w:t>
            </w:r>
            <w:proofErr w:type="spellEnd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Прибыль (убыток) до налогообложения</w:t>
            </w:r>
            <w:proofErr w:type="gramStart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 xml:space="preserve"> (+/- </w:t>
            </w:r>
            <w:proofErr w:type="gramEnd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строки с 020 по 025)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86 530 906,15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27 646 878,63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Расходы по подоходному налогу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137 633,79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-831,79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Прибыль (убыток) после налогообложения от продолжающейся деятельности (строка 100 – строка 101)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86 393 272,36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27 647 710,42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Прибыль (убыток) после налогообложения от прекращенной деятельности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Прибыль за год (строка 200 + строка 201) относимая </w:t>
            </w:r>
            <w:proofErr w:type="gramStart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на</w:t>
            </w:r>
            <w:proofErr w:type="gramEnd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86 393 272,36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27 647 710,42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собственников материнской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долю неконтролирующих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Прочая совокупная прибыль, всего (сумма строк с 410 по 420):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Переоценка основных средств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Переоценка финансовых активов, имеющихся в наличии для продажи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Доля в прочей совокупной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Актуарные прибыли (убытки) по пенсионным обязательствам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Эффект изменения в ставке подоходного налога на отсроченный налог дочерних организаций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Хеджирование денежных потоков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Курсовая разница по инвестициям в зарубежные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Хеджирование чистых инвестиций в зарубежные операции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компоненты прочей совокупной прибыли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Корректировка при </w:t>
            </w:r>
            <w:proofErr w:type="spellStart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реклассификации</w:t>
            </w:r>
            <w:proofErr w:type="spellEnd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 в составе прибыли (убытка)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Налоговый эффект компонентов прочей совокупной прибыли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Общая совокупная прибыль (строка 300 + строка 400)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86 393 272,36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27 647 710,42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Общая совокупная </w:t>
            </w:r>
            <w:proofErr w:type="gramStart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прибыль</w:t>
            </w:r>
            <w:proofErr w:type="gramEnd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 относимая на: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собственников материнской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доля неконтролирующих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Прибыль на акцию: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Базовая прибыль на акцию: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от продолжающейся деятельности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от прекращенной деятельности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Разводненная прибыль на акцию: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от продолжающейся деятельности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от прекращенной деятельности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FD6635" w:rsidRDefault="00FD6635" w:rsidP="00394FAE">
      <w:pPr>
        <w:spacing w:after="0"/>
        <w:jc w:val="center"/>
      </w:pPr>
    </w:p>
    <w:p w:rsidR="00FD6635" w:rsidRPr="00FD6635" w:rsidRDefault="00FD6635" w:rsidP="00FD66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  <w:r w:rsidRPr="00FD6635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  <w:t>Отчет о движении денежных средств (прямой метод)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843"/>
        <w:gridCol w:w="1571"/>
        <w:gridCol w:w="1701"/>
      </w:tblGrid>
      <w:tr w:rsidR="00FD6635" w:rsidRPr="00FD6635" w:rsidTr="00FD6635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 Наименование показателей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За предыдущий период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I. Движение денежных средств от операционной деятельности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1. Поступление денежных средств, всего (сумма строк с 011 по 016)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5 997 195,55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9 584,21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товаров и услуг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прочая выручка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авансы, полученные от покупателей, заказчиков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поступления по договорам страхования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полученные вознаграждения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5 997 195,55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9 584,21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2. Выбытие денежных средств, всего (сумма строк с 021 по 027)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5 530 668,96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411 251,54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платежи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144 428,49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103 088,47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авансы, выданные поставщикам товаров и услуг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12 270,80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14 840,27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выплаты по оплате труда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280 651,84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178 811,51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выплата вознаграждения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выплаты по договорам страхования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подоходный налог и другие платежи в бюджет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93 745,36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92 323,58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4 999 572,47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22 187,71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3. Чистая сумма денежных средств от операционной деятельности (строка 010 – строка 020)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466 526,59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-401 667,33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II. Движение денежных средств от инвестиционной деятельности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1. Поступление денежных средств, всего (сумма строк с 041 по 051)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1 242 242 555,98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200 274 331,63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основных средств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нематериальных активов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других долгосрочных активов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долговых инструментов других организаций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возмещение при потере контроля над дочерними организациями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реализация прочих финансовых активов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1 222 135 644,79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185 065 261,30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фьючерсные и форвардные контракты, опционы и свопы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полученные дивиденды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полученные вознаграждения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20 106 911,19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15 209 070,33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2. Выбытие денежных средств, всего (сумма строк с 061 по 071)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1 210 778 592,71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249 372 861,06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23 434,09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3 841,72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2 574,96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10 560,72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других долгосрочных активов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долговых инструментов других организаций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контроля над дочерними организациями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приобретение прочих финансовых активов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1 210 307 321,75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243 055 706,10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предоставление займов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фьючерсные и форвардные контракты, опционы и свопы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инвестиции в ассоциированные и дочерние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445 261,91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6 302 752,52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3. Чистая сумма денежных средств от инвестиционной деятельности (строка 040 – строка 060)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31 463 963,27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-49 098 529,43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III. Движение денежных средств от финансовой деятельности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1. Поступление денежных средств, всего (сумма строк с 091 по 094)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46 035 827,87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49 132 302,07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эмиссия акций и других финансовых инструментов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17 715 600,00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получение займов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полученные вознаграждения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28 320 227,87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49 132 302,07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2. Выбытие денежных средств, всего (сумма строк с 101 по 105)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4 265 470,28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925,17</w:t>
            </w:r>
          </w:p>
        </w:tc>
      </w:tr>
      <w:tr w:rsidR="00FD6635" w:rsidRPr="00FD6635" w:rsidTr="00FD6635">
        <w:tc>
          <w:tcPr>
            <w:tcW w:w="0" w:type="auto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погашение займов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выплата вознаграждения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выплата дивидендов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выплаты собственникам по акциям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выбытия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4 265 470,28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925,17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3. Чистая сумма денежных средств от финансовой деятельности (строка 090 – строка 100)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41 770 357,59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49 131 376,90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4. Влияние обменных курсов валют к тенге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5. Увеличение +/- уменьшение денежных средств (строка 030 +/- строка 080 +/- строка 110+/- строка 120)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73 700 847,45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-368 819,86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6. Денежные средства и их эквиваленты на начало отчетного периода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5 875 525,18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6 244 345,04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7. Денежные средства и их эквиваленты на конец отчетного периода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79 576 372,63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5 875 525,18</w:t>
            </w:r>
          </w:p>
        </w:tc>
      </w:tr>
    </w:tbl>
    <w:p w:rsidR="00FD6635" w:rsidRDefault="00FD6635" w:rsidP="00FD6635">
      <w:pPr>
        <w:spacing w:after="0"/>
        <w:jc w:val="both"/>
      </w:pPr>
    </w:p>
    <w:p w:rsidR="00FD6635" w:rsidRPr="00FD6635" w:rsidRDefault="00FD6635" w:rsidP="00FD66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</w:pPr>
      <w:r w:rsidRPr="00FD6635">
        <w:rPr>
          <w:rFonts w:ascii="Segoe UI" w:eastAsia="Times New Roman" w:hAnsi="Segoe UI" w:cs="Segoe UI"/>
          <w:b/>
          <w:bCs/>
          <w:color w:val="000000"/>
          <w:sz w:val="16"/>
          <w:szCs w:val="16"/>
          <w:lang w:eastAsia="ru-RU"/>
        </w:rPr>
        <w:t>Отчет об изменениях в капитале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63"/>
        <w:gridCol w:w="1154"/>
        <w:gridCol w:w="1061"/>
        <w:gridCol w:w="1061"/>
        <w:gridCol w:w="1097"/>
        <w:gridCol w:w="1407"/>
        <w:gridCol w:w="1494"/>
        <w:gridCol w:w="1766"/>
      </w:tblGrid>
      <w:tr w:rsidR="00FD6635" w:rsidRPr="00FD6635" w:rsidTr="00FD6635">
        <w:trPr>
          <w:tblHeader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Наименование компонентов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Капитал материнской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Доля неконтролирующих собственников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Итого капитал</w:t>
            </w:r>
          </w:p>
        </w:tc>
      </w:tr>
      <w:tr w:rsidR="00FD6635" w:rsidRPr="00FD6635" w:rsidTr="00FD6635">
        <w:trPr>
          <w:tblHeader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Уставный (акционерный) капитал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Эмиссионный доход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Выкупленные собственные долевые инструменты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Нераспределенная прибыль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Сальдо на 1 января предыдущего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161 051 000,00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173 544 423,46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3 316 469,66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337 911 893,12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Изменение в учетной политике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-5 256,30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-5 256,30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Пересчитанное сальдо (строка 010+/-строка 011)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161 051 000,00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173 544 423,46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3 311 213,36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337 906 636,82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Общая совокупная прибыль, всег</w:t>
            </w:r>
            <w:proofErr w:type="gramStart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о(</w:t>
            </w:r>
            <w:proofErr w:type="gramEnd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строка 210 + строка 220):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1 598 337,03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27 647 710,42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29 246 047,45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Прибыль (убыток) за год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27 647 710,42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27 647 710,42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Прочая совокупная прибыль, всего (сумма строк с 221 по 229):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1 598 337,03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1 598 337,03</w:t>
            </w:r>
          </w:p>
        </w:tc>
      </w:tr>
      <w:tr w:rsidR="00FD6635" w:rsidRPr="00FD6635" w:rsidTr="00FD6635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Прирост от переоценки основных средств (за минусом налогового </w:t>
            </w: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Перевод амортизации от переоценки основных средств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Переоценка финансовых активов, имеющиеся в наличии для продажи (за минусом налогового эффекта)</w:t>
            </w:r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1 598 337,03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1 598 337,03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Доля в прочей совокупной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Актуарные прибыли (убытки) по пенсионным обязательствам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Эффект изменения в ставке подоходного налога на отсроченный налог дочерних организаций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Хеджирование денежных потоков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Курсовая разница по инвестициям в зарубежные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Хеджирование чистых инвестиций в зарубежные операции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Операции с собственниками</w:t>
            </w:r>
            <w:proofErr w:type="gramStart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 (сумма строк с 310 по 318):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16 105 000,00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43 120 776,88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-11 816 469,66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47 409 307,22</w:t>
            </w:r>
          </w:p>
        </w:tc>
      </w:tr>
      <w:tr w:rsidR="00FD6635" w:rsidRPr="00FD6635" w:rsidTr="00FD6635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Вознаграждения работников акциями: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стоимость услуг работников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выпуск акций по схеме вознаграждения работников акциями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налоговая выгода в отношении схемы вознаграждения работников акциями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Взносы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16 105 000,00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16 105 000,00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Выпуск собственных долевых инструментов (акций)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Выпуск долевых инструментов связанный с объединением бизнеса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Долевой компонент конвертируемых инструментов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Выплата дивидендов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Прочие </w:t>
            </w: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распределения в пользу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316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-11 816 469,66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-11 816 469,66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Прочие операции с собственниками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43 120 776,88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43 120 776,88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Изменения в доле участия в дочерних организациях, не приводящей к потере контроля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Сальдо на 1 января отчетного года (строка 100 + строка 200 + строка 300)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177 156 000,00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218 263 537,37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19 142 454,12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414 561 991,49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Изменение в учетной политике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Пересчитанное сальдо (строка 400+/строка 401)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177 156 000,00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218 263 537,37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19 142 454,12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414 561 991,49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Общая совокупная прибыль, всего (строка 610+ строка 620):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-20 769 373,21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86 393 272,36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65 623 899,15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Прибыль (убыток) за год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86 393 272,36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86 393 272,36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Прочая совокупная прибыль, всего (сумма строк с 621 по 629):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-20 769 373,21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-20 769 373,21</w:t>
            </w:r>
          </w:p>
        </w:tc>
      </w:tr>
      <w:tr w:rsidR="00FD6635" w:rsidRPr="00FD6635" w:rsidTr="00FD6635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Прирост от переоценки основных средств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Перевод амортизации от переоценки основных </w:t>
            </w: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средств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622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Переоценка финансовых активов, имеющиеся в наличии для продажи (за минусом налогового эффекта)</w:t>
            </w:r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-20 769 373,21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-20 769 373,21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Доля в прочей совокупной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Актуарные прибыли (убытки) по пенсионным обязательствам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Эффект изменения в ставке подоходного налога на отсроченный налог дочерних компаний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Хеджирование денежных потоков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Курсовая разница по инвестициям в зарубежные организации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Хеджирование чистых инвестиций в зарубежные операции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Операции с собственниками всего (сумма строк с 710 по 718)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17 715 600,00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54 822 710,84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-29 642 454,12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42 895 856,72</w:t>
            </w:r>
          </w:p>
        </w:tc>
      </w:tr>
      <w:tr w:rsidR="00FD6635" w:rsidRPr="00FD6635" w:rsidTr="00FD6635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Вознаграждения работников акциями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стоимость услуг работников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выпуск акций по схеме вознаграждения работников акциями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налоговая выгода в отношении схемы вознаграждения работников акциями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Взносы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17 715 600,00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17 715 600,00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Выпуск собственных долевых инструментов (акций)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Выпуск долевых инструментов, связанный с объединением бизнеса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Долевой компонент конвертируемых инструментов (за минусом налогового эффекта)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Выплата дивидендов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Прочие распределения в пользу собственников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-29 642 454,12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-29 642 454,12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 xml:space="preserve">Прочие операции с </w:t>
            </w: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собственниками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717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54 822 710,84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54 822 710,84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lastRenderedPageBreak/>
              <w:t>Изменения в доле участия в дочерних организациях, не приводящей к потере контроля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D6635" w:rsidRPr="00FD6635" w:rsidTr="00FD663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Сальдо на 31 декабря отчетного года (строка 500 + строка 600 + строка 700)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194 871 600,00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252 316 875,00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75 893 272,36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6635" w:rsidRPr="00FD6635" w:rsidRDefault="00FD6635" w:rsidP="00FD66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663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ru-RU"/>
              </w:rPr>
              <w:t>081 747,36</w:t>
            </w:r>
          </w:p>
        </w:tc>
      </w:tr>
    </w:tbl>
    <w:p w:rsidR="00FD6635" w:rsidRDefault="00FD6635" w:rsidP="00FD6635">
      <w:pPr>
        <w:spacing w:after="0"/>
        <w:jc w:val="both"/>
      </w:pPr>
    </w:p>
    <w:p w:rsidR="00FD6635" w:rsidRDefault="00FD6635" w:rsidP="00FD6635">
      <w:pPr>
        <w:pStyle w:val="a3"/>
        <w:numPr>
          <w:ilvl w:val="0"/>
          <w:numId w:val="3"/>
        </w:numPr>
        <w:spacing w:after="0"/>
        <w:jc w:val="center"/>
      </w:pPr>
      <w:r>
        <w:t>Пояснительная записка</w:t>
      </w:r>
    </w:p>
    <w:p w:rsidR="00FD6635" w:rsidRDefault="00FD6635" w:rsidP="00FD6635">
      <w:pPr>
        <w:spacing w:after="0"/>
        <w:jc w:val="center"/>
      </w:pP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АО «Казахстанский фонд гарантирования депозитов» (далее-Фонд), создан на основании Постановления Правления Национального Банка Республики Казахстан №393 от 15 ноября 1999 года. 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Учетная политика Фонда разработана в соответствии с требованиями законодательства РК и МСФО.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Активы Фонда по состоянию на 31.12.2015 года составляют 524 162 628,46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начислении амортизации по основным средствам применяется прямолинейный метод. В отчетном периоде приобретены основные средства на сумму 23 434,09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нематериальные активы на сумму 2 574,96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тыс.тенге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 Долгосрочно арендуемые основные средства отсутствуют. Незавершенное строительство отсутствует.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Дочерние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зависимые организаций отсутствуют.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Инвестиции в  недвижимость отсутствуют.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Товарно-материальные запасы оцениваются по методу средневзвешенной стоимости.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Сумма дебиторской задолженности составила 2 621 974,46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Кредиторская задолженность составила 1 026 043,30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тыс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Сомнительные требования отсутствуют.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Финансовые инвестиции классифицируются как годные для продажи. Финансовые инвестиции Фонда составляют ГЦБ (ЦБ Минфина, облигаций АО КИК, Ноты НБРК, ЦБ США).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По состоянию на 31.12.2015 года</w:t>
      </w:r>
      <w:r>
        <w:rPr>
          <w:rFonts w:ascii="Times New Roman CYR" w:hAnsi="Times New Roman CYR" w:cs="Times New Roman CYR"/>
          <w:sz w:val="24"/>
          <w:szCs w:val="24"/>
        </w:rPr>
        <w:t xml:space="preserve"> финансовые инвестиции составили 441 760 267,76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тыс.тенге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Движение в разделе собственный капитал произошло за счет отражения сумм календарных взносов банков-участников по факту и методом начисления и поступления сумм возмещения от ликвидационной комиссии.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>Займы отсутствуют.</w:t>
      </w:r>
    </w:p>
    <w:p w:rsidR="00A13FE4" w:rsidRDefault="00A13FE4" w:rsidP="00A13F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Дивиденды не расчитываются.</w:t>
      </w:r>
    </w:p>
    <w:p w:rsidR="00FD6635" w:rsidRPr="00A13FE4" w:rsidRDefault="00FD6635" w:rsidP="00FD6635">
      <w:pPr>
        <w:spacing w:after="0"/>
        <w:jc w:val="both"/>
        <w:rPr>
          <w:lang w:val="kk-KZ"/>
        </w:rPr>
      </w:pPr>
    </w:p>
    <w:p w:rsidR="00FD6635" w:rsidRDefault="00FD6635" w:rsidP="00FD6635">
      <w:pPr>
        <w:spacing w:after="0"/>
        <w:jc w:val="center"/>
      </w:pPr>
    </w:p>
    <w:sectPr w:rsidR="00FD6635" w:rsidSect="00DE3C00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D3D"/>
    <w:multiLevelType w:val="hybridMultilevel"/>
    <w:tmpl w:val="CE16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3BD4"/>
    <w:multiLevelType w:val="hybridMultilevel"/>
    <w:tmpl w:val="32765218"/>
    <w:lvl w:ilvl="0" w:tplc="AE5EBA0E">
      <w:start w:val="5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C3F56"/>
    <w:multiLevelType w:val="hybridMultilevel"/>
    <w:tmpl w:val="96C213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95"/>
    <w:rsid w:val="00032F68"/>
    <w:rsid w:val="00394FAE"/>
    <w:rsid w:val="00A13FE4"/>
    <w:rsid w:val="00B15450"/>
    <w:rsid w:val="00C65295"/>
    <w:rsid w:val="00C834CA"/>
    <w:rsid w:val="00DE3C00"/>
    <w:rsid w:val="00E46B14"/>
    <w:rsid w:val="00F87511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2057">
          <w:marLeft w:val="0"/>
          <w:marRight w:val="0"/>
          <w:marTop w:val="0"/>
          <w:marBottom w:val="0"/>
          <w:divBdr>
            <w:top w:val="single" w:sz="6" w:space="2" w:color="5C87B2"/>
            <w:left w:val="single" w:sz="6" w:space="2" w:color="5C87B2"/>
            <w:bottom w:val="single" w:sz="6" w:space="2" w:color="5C87B2"/>
            <w:right w:val="single" w:sz="6" w:space="2" w:color="5C87B2"/>
          </w:divBdr>
        </w:div>
      </w:divsChild>
    </w:div>
    <w:div w:id="656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06">
          <w:marLeft w:val="0"/>
          <w:marRight w:val="0"/>
          <w:marTop w:val="0"/>
          <w:marBottom w:val="0"/>
          <w:divBdr>
            <w:top w:val="single" w:sz="6" w:space="2" w:color="5C87B2"/>
            <w:left w:val="single" w:sz="6" w:space="2" w:color="5C87B2"/>
            <w:bottom w:val="single" w:sz="6" w:space="2" w:color="5C87B2"/>
            <w:right w:val="single" w:sz="6" w:space="2" w:color="5C87B2"/>
          </w:divBdr>
        </w:div>
      </w:divsChild>
    </w:div>
    <w:div w:id="780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3364">
          <w:marLeft w:val="0"/>
          <w:marRight w:val="0"/>
          <w:marTop w:val="0"/>
          <w:marBottom w:val="0"/>
          <w:divBdr>
            <w:top w:val="single" w:sz="6" w:space="2" w:color="5C87B2"/>
            <w:left w:val="single" w:sz="6" w:space="2" w:color="5C87B2"/>
            <w:bottom w:val="single" w:sz="6" w:space="2" w:color="5C87B2"/>
            <w:right w:val="single" w:sz="6" w:space="2" w:color="5C87B2"/>
          </w:divBdr>
        </w:div>
      </w:divsChild>
    </w:div>
    <w:div w:id="1324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0422">
          <w:marLeft w:val="0"/>
          <w:marRight w:val="0"/>
          <w:marTop w:val="0"/>
          <w:marBottom w:val="0"/>
          <w:divBdr>
            <w:top w:val="single" w:sz="6" w:space="2" w:color="5C87B2"/>
            <w:left w:val="single" w:sz="6" w:space="2" w:color="5C87B2"/>
            <w:bottom w:val="single" w:sz="6" w:space="2" w:color="5C87B2"/>
            <w:right w:val="single" w:sz="6" w:space="2" w:color="5C87B2"/>
          </w:divBdr>
        </w:div>
      </w:divsChild>
    </w:div>
    <w:div w:id="167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</cp:lastModifiedBy>
  <cp:revision>2</cp:revision>
  <dcterms:created xsi:type="dcterms:W3CDTF">2016-09-02T05:16:00Z</dcterms:created>
  <dcterms:modified xsi:type="dcterms:W3CDTF">2016-09-02T05:16:00Z</dcterms:modified>
</cp:coreProperties>
</file>