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5A" w:rsidRDefault="00133603" w:rsidP="001336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03">
        <w:rPr>
          <w:rFonts w:ascii="Times New Roman" w:hAnsi="Times New Roman" w:cs="Times New Roman"/>
          <w:b/>
          <w:sz w:val="24"/>
          <w:szCs w:val="24"/>
        </w:rPr>
        <w:t>Отчет №184</w:t>
      </w:r>
      <w:r w:rsidR="00CF476E">
        <w:rPr>
          <w:rFonts w:ascii="Times New Roman" w:hAnsi="Times New Roman" w:cs="Times New Roman"/>
          <w:b/>
          <w:sz w:val="24"/>
          <w:szCs w:val="24"/>
        </w:rPr>
        <w:t xml:space="preserve"> за 2009 год</w:t>
      </w:r>
    </w:p>
    <w:p w:rsidR="00CF476E" w:rsidRDefault="00CF476E" w:rsidP="00CF47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76E" w:rsidRPr="00BD11A4" w:rsidRDefault="00CF476E" w:rsidP="00CF47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D11A4">
        <w:rPr>
          <w:rFonts w:ascii="Times New Roman" w:hAnsi="Times New Roman" w:cs="Times New Roman"/>
          <w:b/>
          <w:sz w:val="24"/>
          <w:szCs w:val="24"/>
        </w:rPr>
        <w:t>Информация об отчете</w:t>
      </w:r>
    </w:p>
    <w:p w:rsidR="00133603" w:rsidRDefault="00133603" w:rsidP="001336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110"/>
        <w:gridCol w:w="8315"/>
      </w:tblGrid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 отчета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184 - для нефинанс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аниза</w:t>
            </w: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ций (утратил силу с 06.10.2010); </w:t>
            </w:r>
          </w:p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финансовой отчетности, установленные приказом Министра финансов Республики Казахстан от 23 мая 2007 года №184 (для нефинансовых организаций) - утратил силу с 06.10.2010 согласно приказу МФ РК от 20.08.2010 № 422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консолидированный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133603" w:rsidRDefault="00133603" w:rsidP="00133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476E" w:rsidRPr="00BD11A4" w:rsidRDefault="00CF476E" w:rsidP="00CF47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1A4">
        <w:rPr>
          <w:rFonts w:ascii="Times New Roman" w:hAnsi="Times New Roman" w:cs="Times New Roman"/>
          <w:b/>
          <w:sz w:val="24"/>
          <w:szCs w:val="24"/>
        </w:rPr>
        <w:t>2. Основные данные</w:t>
      </w:r>
    </w:p>
    <w:p w:rsidR="00133603" w:rsidRPr="00E00AF9" w:rsidRDefault="00133603" w:rsidP="00E00A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2049"/>
        <w:gridCol w:w="7376"/>
      </w:tblGrid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(рус</w:t>
            </w:r>
            <w:proofErr w:type="gramStart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Казахстанский фонд гарантирования депозитов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. яз.)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E00AF9" w:rsidRDefault="00E00AF9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«Қазақстанның депозиттерге кепілдік беру қоры» АҚ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РНН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600400112748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39097277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991240000414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.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30190-1910-АО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.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21.10.2004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ОПФ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Акционерное общество</w:t>
            </w:r>
          </w:p>
        </w:tc>
      </w:tr>
      <w:tr w:rsidR="00133603" w:rsidRPr="00133603" w:rsidTr="001336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133603" w:rsidRPr="00133603" w:rsidRDefault="00133603" w:rsidP="001336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Казахстан;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г.а.;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Бостандыкская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р.а.; 050040;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Коктем-3, д. 21; тел: 2726900; факс: 2720551;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;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; </w:t>
            </w:r>
            <w:proofErr w:type="spellStart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</w:t>
            </w:r>
            <w:proofErr w:type="spellEnd"/>
            <w:proofErr w:type="gramStart"/>
            <w:r w:rsidRPr="0013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;</w:t>
            </w:r>
            <w:proofErr w:type="gramEnd"/>
          </w:p>
        </w:tc>
      </w:tr>
    </w:tbl>
    <w:p w:rsidR="00CF476E" w:rsidRDefault="00CF476E" w:rsidP="00CF47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76E" w:rsidRDefault="00CF476E" w:rsidP="00CF47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1A4">
        <w:rPr>
          <w:rFonts w:ascii="Times New Roman" w:hAnsi="Times New Roman" w:cs="Times New Roman"/>
          <w:b/>
          <w:sz w:val="24"/>
          <w:szCs w:val="24"/>
        </w:rPr>
        <w:t>3. Профиль</w:t>
      </w:r>
    </w:p>
    <w:p w:rsidR="00133603" w:rsidRDefault="00133603" w:rsidP="00133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185"/>
        <w:gridCol w:w="3982"/>
        <w:gridCol w:w="58"/>
      </w:tblGrid>
      <w:tr w:rsidR="00E00AF9" w:rsidRPr="00E00AF9" w:rsidTr="00E00AF9">
        <w:trPr>
          <w:gridAfter w:val="2"/>
          <w:wAfter w:w="404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AF9" w:rsidRPr="00CF476E" w:rsidTr="00CF4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</w:t>
            </w:r>
            <w:proofErr w:type="spellStart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CF476E" w:rsidRDefault="00CF476E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7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E00AF9" w:rsidRPr="00CF47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Kazakhstan deposit insurance fund</w:t>
            </w:r>
            <w:r w:rsidRPr="00CF47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</w:t>
            </w:r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страхование</w:t>
            </w:r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Маженова</w:t>
            </w:r>
            <w:proofErr w:type="spellEnd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Бахыт</w:t>
            </w:r>
            <w:proofErr w:type="spellEnd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Мурсалимовна</w:t>
            </w:r>
            <w:proofErr w:type="spellEnd"/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Пичитаева</w:t>
            </w:r>
            <w:proofErr w:type="spellEnd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Айткалиевна</w:t>
            </w:r>
            <w:proofErr w:type="spellEnd"/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составлен по МСФО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00AF9" w:rsidRPr="00E00AF9" w:rsidTr="00E00AF9">
        <w:trPr>
          <w:gridAfter w:val="1"/>
          <w:wAfter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F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отчетности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0AF9" w:rsidRPr="00E00AF9" w:rsidRDefault="00E00AF9" w:rsidP="00E00A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0AF9" w:rsidRDefault="00E00AF9" w:rsidP="00133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0AF9" w:rsidRDefault="00CF476E" w:rsidP="00E00A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0AF9">
        <w:rPr>
          <w:rFonts w:ascii="Times New Roman" w:hAnsi="Times New Roman" w:cs="Times New Roman"/>
          <w:b/>
          <w:sz w:val="24"/>
          <w:szCs w:val="24"/>
        </w:rPr>
        <w:t>. Финансовая отчетность</w:t>
      </w:r>
    </w:p>
    <w:p w:rsidR="00E00AF9" w:rsidRPr="00E00AF9" w:rsidRDefault="00E00AF9" w:rsidP="00E00A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F9" w:rsidRDefault="00E00AF9" w:rsidP="00E00AF9">
      <w:pPr>
        <w:shd w:val="clear" w:color="auto" w:fill="F5F5F5"/>
        <w:spacing w:after="0" w:line="240" w:lineRule="auto"/>
        <w:rPr>
          <w:rFonts w:ascii="Tahoma" w:eastAsia="Times New Roman" w:hAnsi="Tahoma" w:cs="Tahoma"/>
          <w:b/>
          <w:bCs/>
          <w:color w:val="000000"/>
          <w:sz w:val="15"/>
          <w:szCs w:val="15"/>
        </w:rPr>
      </w:pPr>
      <w:r w:rsidRPr="00E00AF9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Бухгалтерский баланс</w:t>
      </w:r>
    </w:p>
    <w:p w:rsidR="00E00AF9" w:rsidRPr="00E00AF9" w:rsidRDefault="00E00AF9" w:rsidP="00E00AF9">
      <w:pPr>
        <w:shd w:val="clear" w:color="auto" w:fill="F5F5F5"/>
        <w:spacing w:after="0" w:line="240" w:lineRule="auto"/>
        <w:rPr>
          <w:rFonts w:ascii="Tahoma" w:eastAsia="Times New Roman" w:hAnsi="Tahoma" w:cs="Tahoma"/>
          <w:b/>
          <w:bCs/>
          <w:color w:val="000000"/>
          <w:sz w:val="15"/>
          <w:szCs w:val="15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378"/>
        <w:gridCol w:w="629"/>
        <w:gridCol w:w="2002"/>
        <w:gridCol w:w="2082"/>
      </w:tblGrid>
      <w:tr w:rsidR="00E00AF9" w:rsidRPr="00E00AF9" w:rsidTr="00E00AF9">
        <w:trPr>
          <w:tblHeader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Наименование статьи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На конец отчетного периода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На начало отчетного периода</w:t>
            </w:r>
          </w:p>
        </w:tc>
      </w:tr>
      <w:tr w:rsidR="00E00AF9" w:rsidRPr="00E00AF9" w:rsidTr="00E00AF9">
        <w:tc>
          <w:tcPr>
            <w:tcW w:w="0" w:type="auto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АКТИВЫ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I. Краткосрочные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010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42 925 933,57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90 226 915,79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Краткосрочные финансовые инвестиции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011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14 609 412,02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12 054 134,05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Краткосрочная дебиторская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012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4 694 580,30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1 363 845,14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Запасы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013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489,35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839,51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Текущие налоговые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014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15,74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Долгосрочные активы, предназначенные для продажи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015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Прочие краткосрочные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016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4 812,45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5 433,52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Итого краткосрочных активов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62 235 227,69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103 651 183,75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II. Долгосрочные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Долгосрочные финансовые инвестиции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99 867 443,62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18 881 437,47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Долгосрочная дебиторская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Инвестиции, учитываемые методом долевого участия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Инвестиционная недвижимость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6 231,83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4 762,30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Биологические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Разведочные и оценочные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9 782,39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2 292,16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3 101,16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1 379,59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Прочие долгосрочные активы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029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Итого долгосрочных активов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99 886 559,00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18 889 871,52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Баланс (стр. 100 + стр. 200)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162 121 786,69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122 541 055,27</w:t>
            </w:r>
          </w:p>
        </w:tc>
      </w:tr>
      <w:tr w:rsidR="00E00AF9" w:rsidRPr="00E00AF9" w:rsidTr="00E00AF9">
        <w:tc>
          <w:tcPr>
            <w:tcW w:w="0" w:type="auto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ОБЯЗАТЕЛЬСТВА И КАПИТАЛ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III.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Краткосрочные финансовые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030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Обязательства по налогам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031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860 639,90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2 920,61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Обязательства по другим обязательным и добровольным платежам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032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625,17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Краткосрочная кредиторская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033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378 608,67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42 741,11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Краткосрочные оценочные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034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27 255,30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11 517,35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Прочие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035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Итого краткосрочных обязательств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1 266 503,87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57 804,24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Долгосрочные финансовые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040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Долгосрочная кредиторская задолженность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041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Долгосрочные оценочные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042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043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Прочие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044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Итого </w:t>
            </w:r>
            <w:proofErr w:type="gramStart"/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долгосрочные</w:t>
            </w:r>
            <w:proofErr w:type="gramEnd"/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обязательств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400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V.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Уставный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050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110 000 000,00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100 000 000,00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Неоплаченный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051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Выкупленные собственные долевые инструменты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052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Эмиссионный доход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053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Резервы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054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40 313 198,70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20 823 588,69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Нераспределенный доход (непокрытый убыток)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055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10 542 084,12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1 659 662,34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Доля меньшинства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056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8E8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Итого капитал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160 855 282,82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122 483 251,03</w:t>
            </w:r>
          </w:p>
        </w:tc>
      </w:tr>
      <w:tr w:rsidR="00E00AF9" w:rsidRPr="00E00AF9" w:rsidTr="00E00AF9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Баланс (стр. 300 + стр. 400 + стр. 500)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162 121 786,69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E00AF9" w:rsidRPr="00E00AF9" w:rsidRDefault="00E00AF9" w:rsidP="00E0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E0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122 541 055,27</w:t>
            </w:r>
          </w:p>
        </w:tc>
      </w:tr>
    </w:tbl>
    <w:p w:rsidR="00E00AF9" w:rsidRDefault="00E00AF9" w:rsidP="00E00AF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0762" w:rsidRPr="002D0762" w:rsidRDefault="00CF476E" w:rsidP="002D07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07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0762" w:rsidRPr="002D0762">
        <w:rPr>
          <w:rFonts w:ascii="Times New Roman" w:hAnsi="Times New Roman" w:cs="Times New Roman"/>
          <w:b/>
          <w:sz w:val="24"/>
          <w:szCs w:val="24"/>
        </w:rPr>
        <w:t>Пояснительная записка к отчету</w:t>
      </w:r>
    </w:p>
    <w:p w:rsidR="002D0762" w:rsidRDefault="002D0762" w:rsidP="002D0762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Метод начисления амортизации основных средств согласно учетной политике организации - прямолинейный.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Метод оценки товарно-материальных запасов согласно учетной политике организации - метод средневзвешенной стоимости.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D0762">
        <w:rPr>
          <w:rFonts w:ascii="Times New Roman" w:hAnsi="Times New Roman" w:cs="Times New Roman"/>
          <w:sz w:val="24"/>
          <w:szCs w:val="24"/>
        </w:rPr>
        <w:t>Активы Фонда на отчетную дату составили 162 121 786,69 тыс. тенге, в том числе долгосрочные 99 886 559 тыс. тенге, краткосрочные 62 235 227,69 тыс. тенге.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Финансовые инвестиции классифицируются как годные для продажи.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Структура активов характеризуется следующими данными: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1) финансовые инвестиции составили 114 476 855,63 тыс. тенге или 70,61 % от общего объема     активов, в том числе 14 609 412,02 тыс. тенге или (12,76 % от  суммы финансовых инвестиций) краткосрочные инвестиции;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2) основные средства и нематериальные активы 16 014,23 тыс. тенге или 0,99 % от общего объема активов;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3) дебиторская задолженность - 4 694 580,3 тыс. тенге или 2,89 % от общего объема активов; из них  1 753 678,14  тыс. тенге (1,08 %) "Начисленные календарные взносы банков-участников СГД", 2 940 568,97  тыс. тенге (1,81 %) "Начисленные проценты по ценным бумагам";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4) товарно-материальные ценности (запасы) - 489,35 тыс. тенге или 0,0003 % от общего объема активов;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5) расходы будущих периодов 356,68 тыс. тенге или  0,0002 % от общего объема активов;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 xml:space="preserve">6) деньги 42 925 933,57 тыс. тенге или 26,48 % от общего объема активов, из них 37 000 </w:t>
      </w:r>
      <w:proofErr w:type="spellStart"/>
      <w:r w:rsidRPr="002D076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2D0762">
        <w:rPr>
          <w:rFonts w:ascii="Times New Roman" w:hAnsi="Times New Roman" w:cs="Times New Roman"/>
          <w:sz w:val="24"/>
          <w:szCs w:val="24"/>
        </w:rPr>
        <w:t xml:space="preserve"> тыс. тенге </w:t>
      </w:r>
      <w:proofErr w:type="gramStart"/>
      <w:r w:rsidRPr="002D0762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2D0762">
        <w:rPr>
          <w:rFonts w:ascii="Times New Roman" w:hAnsi="Times New Roman" w:cs="Times New Roman"/>
          <w:sz w:val="24"/>
          <w:szCs w:val="24"/>
        </w:rPr>
        <w:t xml:space="preserve"> размещенные на краткосрочном депозите в Национальном Банке РК, 3 622 233,86 тыс. тенге средства на </w:t>
      </w:r>
      <w:proofErr w:type="spellStart"/>
      <w:r w:rsidRPr="002D0762">
        <w:rPr>
          <w:rFonts w:ascii="Times New Roman" w:hAnsi="Times New Roman" w:cs="Times New Roman"/>
          <w:sz w:val="24"/>
          <w:szCs w:val="24"/>
        </w:rPr>
        <w:t>инвест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0762">
        <w:rPr>
          <w:rFonts w:ascii="Times New Roman" w:hAnsi="Times New Roman" w:cs="Times New Roman"/>
          <w:sz w:val="24"/>
          <w:szCs w:val="24"/>
        </w:rPr>
        <w:t>счете ДМО, 2 302 645,54 тыс. тенге остаток денежных средств на расчетном счете Фонда;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Сравнение величины активов в отчетном периоде с данными по состоянию на 1 января 2009 года показало рост активов на 39 580 731,43 тыс. тенге или 75,59 %. Основной причиной ростов активов Фонда является увеличение уставного капитала, за счет дополнительной эмиссии акций.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>Доходы составили 13 253 666,35 тыс. тенге. Расшифровка прочих доходов и расходов приведена в соответствующих Приложениях к настоящему отчету. Прочие и общие административные расходы за отчетный период составили 1 852 247,78 тыс. тенге.</w:t>
      </w:r>
    </w:p>
    <w:p w:rsid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0762">
        <w:rPr>
          <w:rFonts w:ascii="Times New Roman" w:hAnsi="Times New Roman" w:cs="Times New Roman"/>
          <w:sz w:val="24"/>
          <w:szCs w:val="24"/>
        </w:rPr>
        <w:t xml:space="preserve"> Уставный капитал составил 110 000 </w:t>
      </w:r>
      <w:proofErr w:type="spellStart"/>
      <w:r w:rsidRPr="002D0762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2D0762">
        <w:rPr>
          <w:rFonts w:ascii="Times New Roman" w:hAnsi="Times New Roman" w:cs="Times New Roman"/>
          <w:sz w:val="24"/>
          <w:szCs w:val="24"/>
        </w:rPr>
        <w:t xml:space="preserve"> тыс. тенге.</w:t>
      </w:r>
    </w:p>
    <w:p w:rsidR="002D0762" w:rsidRPr="002D0762" w:rsidRDefault="002D0762" w:rsidP="002D07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762">
        <w:rPr>
          <w:rFonts w:ascii="Times New Roman" w:hAnsi="Times New Roman" w:cs="Times New Roman"/>
          <w:sz w:val="24"/>
          <w:szCs w:val="24"/>
        </w:rPr>
        <w:t xml:space="preserve">В отчетном периоде чистый доход составил 10 542 084,12  тыс. тенге, при плане 5 523 444 тыс. тенге. </w:t>
      </w:r>
    </w:p>
    <w:p w:rsidR="002D0762" w:rsidRDefault="002D0762" w:rsidP="002D07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35B" w:rsidRPr="002D0762" w:rsidRDefault="0078235B" w:rsidP="002D07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235B" w:rsidRPr="002D0762" w:rsidSect="00BE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3603"/>
    <w:rsid w:val="00133603"/>
    <w:rsid w:val="002D0762"/>
    <w:rsid w:val="0078235B"/>
    <w:rsid w:val="00BE1F5A"/>
    <w:rsid w:val="00CF476E"/>
    <w:rsid w:val="00E0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6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6252">
          <w:marLeft w:val="0"/>
          <w:marRight w:val="0"/>
          <w:marTop w:val="0"/>
          <w:marBottom w:val="0"/>
          <w:divBdr>
            <w:top w:val="single" w:sz="4" w:space="2" w:color="5C87B2"/>
            <w:left w:val="single" w:sz="4" w:space="2" w:color="5C87B2"/>
            <w:bottom w:val="single" w:sz="4" w:space="2" w:color="5C87B2"/>
            <w:right w:val="single" w:sz="4" w:space="2" w:color="5C87B2"/>
          </w:divBdr>
        </w:div>
      </w:divsChild>
    </w:div>
    <w:div w:id="1389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KDIF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Bakdaulet</dc:creator>
  <cp:keywords/>
  <dc:description/>
  <cp:lastModifiedBy>Bakdaulet</cp:lastModifiedBy>
  <cp:revision>5</cp:revision>
  <dcterms:created xsi:type="dcterms:W3CDTF">2015-01-09T06:28:00Z</dcterms:created>
  <dcterms:modified xsi:type="dcterms:W3CDTF">2015-01-09T08:35:00Z</dcterms:modified>
</cp:coreProperties>
</file>