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11A4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A4">
        <w:rPr>
          <w:rFonts w:ascii="Times New Roman" w:hAnsi="Times New Roman" w:cs="Times New Roman"/>
          <w:b/>
          <w:sz w:val="24"/>
          <w:szCs w:val="24"/>
        </w:rPr>
        <w:t>Отчет №184 за 2008 год</w:t>
      </w:r>
    </w:p>
    <w:p w:rsidR="00BD11A4" w:rsidRDefault="00BD11A4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1A4" w:rsidRPr="00BD11A4" w:rsidRDefault="00BD11A4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D11A4">
        <w:rPr>
          <w:rFonts w:ascii="Times New Roman" w:hAnsi="Times New Roman" w:cs="Times New Roman"/>
          <w:b/>
          <w:sz w:val="24"/>
          <w:szCs w:val="24"/>
        </w:rPr>
        <w:t>Информация об отчете</w:t>
      </w:r>
    </w:p>
    <w:p w:rsidR="00BD11A4" w:rsidRDefault="00BD11A4" w:rsidP="00BD11A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059"/>
        <w:gridCol w:w="8356"/>
      </w:tblGrid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 отчета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184 - для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нефинанс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орг-ций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(утратил силу с 06.10.2010); Формы финансовой отчетности, установленные приказом Министра финансов Республики Казахстан от 23 мая 2007 года №184 (для нефинансовых организаций) - утратил силу с 06.10.2010 согласно приказу МФ РК от 20.08.2010 № 422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Не консолидированный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F61CF0" w:rsidRDefault="00F61CF0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1A4" w:rsidRPr="00BD11A4" w:rsidRDefault="00BD11A4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A4">
        <w:rPr>
          <w:rFonts w:ascii="Times New Roman" w:hAnsi="Times New Roman" w:cs="Times New Roman"/>
          <w:b/>
          <w:sz w:val="24"/>
          <w:szCs w:val="24"/>
        </w:rPr>
        <w:t>2. Основные данные</w:t>
      </w:r>
    </w:p>
    <w:p w:rsidR="00BD11A4" w:rsidRDefault="00BD11A4" w:rsidP="00BD11A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758"/>
        <w:gridCol w:w="7657"/>
      </w:tblGrid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(рус</w:t>
            </w:r>
            <w:proofErr w:type="gram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КАЗАХСТАНСКИЙ ФОНД ГАРАНТИРОВАНИЯ ДЕПОЗИТОВ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. яз.)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ДЕПОЗИТТЕРГЕ КЕПІЛДІ</w:t>
            </w:r>
            <w:proofErr w:type="gram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ҚОРЫ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РНН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600400112748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39097277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991240000414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30190-1910-АО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21.10.2004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ОПФ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Казахстан;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г.а.;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Бостандыкская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р.а.; 050040; Казахстан, 050040,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Бостандыкская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микр-н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Коктем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дом 21, тел: 8 7272 721986, 720548, факс: 8 7272 720551,; тел: 2721986; факс: 2720551;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aiman@kdif.kz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root@kdif.kz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.: 87012183001;</w:t>
            </w:r>
          </w:p>
        </w:tc>
      </w:tr>
    </w:tbl>
    <w:p w:rsidR="00BD11A4" w:rsidRDefault="00BD11A4" w:rsidP="00BD11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11A4" w:rsidRDefault="00BD11A4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A4">
        <w:rPr>
          <w:rFonts w:ascii="Times New Roman" w:hAnsi="Times New Roman" w:cs="Times New Roman"/>
          <w:b/>
          <w:sz w:val="24"/>
          <w:szCs w:val="24"/>
        </w:rPr>
        <w:t>3. Профиль</w:t>
      </w:r>
    </w:p>
    <w:p w:rsidR="008B5338" w:rsidRDefault="008B5338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612"/>
        <w:gridCol w:w="6803"/>
      </w:tblGrid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JSC Kazakhstan Deposit Insurance Fund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страхование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Маженова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Бахыт</w:t>
            </w:r>
            <w:proofErr w:type="spellEnd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Мурсалимовна</w:t>
            </w:r>
            <w:proofErr w:type="spellEnd"/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ПИЧИТАЕВА АЙМАН АЙТКАЛИЕВНА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составлен по МСФО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11A4" w:rsidRPr="00BD11A4" w:rsidTr="00BD11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1A4" w:rsidRPr="00BD11A4" w:rsidRDefault="00BD11A4" w:rsidP="00BD1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11A4" w:rsidRPr="00BD11A4" w:rsidRDefault="00BD11A4" w:rsidP="00BD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Учетная политика разработана в соответствии с требованиями законодательства Республики Казахстан и Международных стандартов финансовой отчетности. При ведении бухгалтерского учета и составлении финансовой отчетности Фондом </w:t>
            </w:r>
            <w:r w:rsidRPr="00BD1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применяются принципы непрерывности деятельности и начисления и основные качественные характеристики: понятность, уместность, надежность и сопоставимость</w:t>
            </w:r>
          </w:p>
        </w:tc>
      </w:tr>
    </w:tbl>
    <w:p w:rsidR="00BD11A4" w:rsidRDefault="00BD11A4" w:rsidP="00BD1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338" w:rsidRDefault="008B5338" w:rsidP="008B53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3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Аффил</w:t>
      </w:r>
      <w:r w:rsidRPr="008B5338">
        <w:rPr>
          <w:rFonts w:ascii="Times New Roman" w:hAnsi="Times New Roman" w:cs="Times New Roman"/>
          <w:b/>
          <w:sz w:val="24"/>
          <w:szCs w:val="24"/>
        </w:rPr>
        <w:t>ированные</w:t>
      </w:r>
      <w:proofErr w:type="spellEnd"/>
      <w:r w:rsidRPr="008B5338">
        <w:rPr>
          <w:rFonts w:ascii="Times New Roman" w:hAnsi="Times New Roman" w:cs="Times New Roman"/>
          <w:b/>
          <w:sz w:val="24"/>
          <w:szCs w:val="24"/>
        </w:rPr>
        <w:t xml:space="preserve"> лица</w:t>
      </w:r>
    </w:p>
    <w:p w:rsidR="008B5338" w:rsidRDefault="008B5338" w:rsidP="008B53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013"/>
        <w:gridCol w:w="1297"/>
        <w:gridCol w:w="1916"/>
        <w:gridCol w:w="1497"/>
        <w:gridCol w:w="3842"/>
      </w:tblGrid>
      <w:tr w:rsidR="008B5338" w:rsidRPr="008B5338" w:rsidTr="008B5338">
        <w:trPr>
          <w:tblHeader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Дата получения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аффилиированности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Наименование / Ф.И.О.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Основание для признания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аффилиированности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Примечание</w:t>
            </w:r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20.12.1999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Республиканское государственное предприятие «</w:t>
            </w:r>
            <w:proofErr w:type="gram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Казахстанский</w:t>
            </w:r>
            <w:proofErr w:type="gram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центр межбанковских расчетов»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7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Генеральный директор –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Абдулкаримов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Саит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Хайбарович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;</w:t>
            </w:r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20.12.1999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Республиканское государственное предприятие на праве хозяйственного ведения «Банковское сервисное бюро Национального Банка Республики Казахстан»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7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Директор –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Кашкинов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Акмырза</w:t>
            </w:r>
            <w:proofErr w:type="spellEnd"/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20.12.1999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Республиканское государственное предприятие на праве хозяйственного ведения «Казахстанский монетный двор»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7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Директор - Туганбаев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Фарит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Сапаргалиевич</w:t>
            </w:r>
            <w:proofErr w:type="spellEnd"/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20.12.1999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АО «Резервный Центр Национального Банка Республики Казахстан»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7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Генеральный директор –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Сейткасимов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Айдар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Габдыгапарович</w:t>
            </w:r>
            <w:proofErr w:type="spellEnd"/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20.12.1999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АО НПФ «Государственный накопительный пенсионный фонд»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7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Председатель Правления -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Секенов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Алгазы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Сергазиевич</w:t>
            </w:r>
            <w:proofErr w:type="spellEnd"/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20.12.1999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Республиканское государственное предприятие на праве хозяйственного ведения «Банкнотная фабрика НБРК»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7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Директо</w:t>
            </w:r>
            <w:proofErr w:type="gram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р-</w:t>
            </w:r>
            <w:proofErr w:type="gram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Кажмуратов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Жомарт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Тулегенович</w:t>
            </w:r>
            <w:proofErr w:type="spellEnd"/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03.05.2006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Сартбаев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Медет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Максутович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3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Сартбаева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Айгуль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Альгимантасовна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1967 г.р. – супруга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Сартбаев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Армантай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Медетович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1989 г.р. – сын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Сартбаев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Максут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Калкабаевич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1937 г.р. – отец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Тащанова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Светлана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Хамидуллаевна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1939 г.р. – мать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Сартбаев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Мурат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Максутович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1963 г.р. – брат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Сартбаева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Алия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Максутовна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1979 г.р. – сестра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Видугирис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Альгимантас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Стасевич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1936 г.р. – отец супруги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Табалдыева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Роза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Заимбековна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1945 г.р. – мать супруги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Видуригис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Стасис</w:t>
            </w:r>
            <w:proofErr w:type="spellEnd"/>
            <w:proofErr w:type="gram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Альгимантасович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1973 г.р. – брат жены</w:t>
            </w:r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09.10.2002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Маженова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Бахыт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Мурсалимовна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Генеральный директор Фонда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3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Маженов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Нурбек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Ахметжанович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- 1952 г.р. - супруг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Маженова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Айнур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Нурбековна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- 1981 г.р. - дочь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Маженов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Касым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Нурбекович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- 1987 г.р. - сын</w:t>
            </w:r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03.11.2008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Даленов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Руслан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Ербулатович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3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19.05.2008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Байсынов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Мурат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Байсынович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3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Кадиркулова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Лаура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Айдарбековна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1967 г.р. – супруга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Байсынова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Зере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Муратовна – 1993 г.р. – дочь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Байсынов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Ануар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Муратович – 2000 г.р. – сын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Байсынова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Базаркуль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1949 г.р. – сестра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Кенжебаева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Айымша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1941 г.р. – мать супруги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Кадиркулова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Галия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Айдарбековна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1966 г.р. – сестра жены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Кадир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Сабир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Айдар – 1969 г.р. – брат жены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Кадир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Нурлан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Айдар – 1971 г.р. – брат жены</w:t>
            </w:r>
            <w:proofErr w:type="gramEnd"/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24.08.2007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Курманов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Жанат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Бостанович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3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Курманова Елизавета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Эдильевна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1970 г.р. – супруга Курманова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Асия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Жанатовна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1999 г.р. – дочь Курманов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Арсен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Жанатович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2005 г.р. – сын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Байгазина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Лейля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Галимовна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1934 г.р. – мать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Джакипбаева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Гульзат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Бостановна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1966 г.р. – сестра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Ди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Люка Екатерина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Эдильевна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– 1981 г.р. – сестра супруги</w:t>
            </w:r>
          </w:p>
        </w:tc>
      </w:tr>
      <w:tr w:rsidR="008B5338" w:rsidRPr="008B5338" w:rsidTr="008B5338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12.12.2008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Уртембаев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Аскар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Калмухаметович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подпункт 3 пункта 1 статьи 64 Закона РК "Об акционерных обществах РК"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B5338" w:rsidRPr="008B5338" w:rsidRDefault="008B5338" w:rsidP="008B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Уртембаев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Мурат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Калмухаметович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-б</w:t>
            </w:r>
            <w:proofErr w:type="gram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рат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Уртембаева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Гульнара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Калмухамбетовна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сестра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Кулдарова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Айгуль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Калмухамбетовна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сестра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Агибаева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Лаура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Арыкбаевна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супруга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Калмухамет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Санжар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Аскарулы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-сын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Калмухамет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Алмас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Аскарулы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-сын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Агыбаев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Арыкбай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Нусибалиевич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-отец супруги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Акжолтаева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Куляш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Шариповна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мать супруги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Агыбаев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Газиз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Арыкбаевич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брат супруги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Агыбаев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Женис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Арыкбаевич</w:t>
            </w:r>
            <w:proofErr w:type="spellEnd"/>
            <w:r w:rsidRPr="008B533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- брат супруги</w:t>
            </w:r>
          </w:p>
        </w:tc>
      </w:tr>
    </w:tbl>
    <w:p w:rsidR="008B5338" w:rsidRDefault="008B5338" w:rsidP="00C944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94400" w:rsidRDefault="00C94400" w:rsidP="00C944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Совет директоров</w:t>
      </w:r>
    </w:p>
    <w:p w:rsidR="00C94400" w:rsidRDefault="00C94400" w:rsidP="00C944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586"/>
        <w:gridCol w:w="2501"/>
        <w:gridCol w:w="2583"/>
      </w:tblGrid>
      <w:tr w:rsidR="00C94400" w:rsidRPr="00C94400" w:rsidTr="00C9440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решения об избрании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решения об избрании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САРТБАЕВ МЕДЕТ МАКСУТОВИЧ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ДАЛЕНОВ РУСЛАН ЕРБОЛАТОВИЧ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УРТЕМБАЕВ АСКАР </w:t>
            </w: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КАЛМУХАМЕТОВИЧ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25.08.2009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КУРМАНОВ ЖАНАТ БОСТАНОВИЧ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МАЖЕНОВА БАХЫТ МУРСАЛИМОВНА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45" w:type="dxa"/>
              <w:bottom w:w="45" w:type="dxa"/>
              <w:right w:w="45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C94400" w:rsidRDefault="00C94400" w:rsidP="00C944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400" w:rsidRDefault="00C94400" w:rsidP="00C944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Акции</w:t>
      </w:r>
    </w:p>
    <w:p w:rsidR="00C94400" w:rsidRDefault="00C94400" w:rsidP="00C944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788"/>
        <w:gridCol w:w="2912"/>
      </w:tblGrid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Объявленные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Объявленные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привилегированные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Размещенные простые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Размещенные привилегированные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Выкупленные простые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Выкупленные привилегированные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госсобственности </w:t>
            </w: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госсобственности </w:t>
            </w: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привилегированные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Объявленные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Выкупленные</w:t>
            </w:r>
            <w:proofErr w:type="gram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госсобственности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госсобственности всего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НИН простых акций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KZ1C42180014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НИН привилегированных акций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Номинальная стоимость акции, </w:t>
            </w:r>
            <w:proofErr w:type="spellStart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C94400" w:rsidRPr="00C94400" w:rsidTr="00C94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4400" w:rsidRPr="00C94400" w:rsidRDefault="00C94400" w:rsidP="00C94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sz w:val="24"/>
                <w:szCs w:val="24"/>
              </w:rPr>
              <w:t>АО "ФОНДОВЫЙ ЦЕНТР"</w:t>
            </w:r>
          </w:p>
        </w:tc>
      </w:tr>
    </w:tbl>
    <w:p w:rsidR="00C94400" w:rsidRPr="00C94400" w:rsidRDefault="00C94400" w:rsidP="00C944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608"/>
        <w:gridCol w:w="1374"/>
        <w:gridCol w:w="1654"/>
        <w:gridCol w:w="1204"/>
        <w:gridCol w:w="3725"/>
      </w:tblGrid>
      <w:tr w:rsidR="00C94400" w:rsidRPr="00C94400" w:rsidTr="00C94400">
        <w:trPr>
          <w:tblHeader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выпуска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выпуска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(шт.)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отчета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Решением акционеров №1 от 06.06.2000г.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26.06.2007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13.12.2007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Решением акционеров №93 от 24.05.2007г.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Решением акционеров №109 от 27.12.2007г.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Решением акционеров №122 от 11.08.2008г.</w:t>
            </w:r>
          </w:p>
        </w:tc>
      </w:tr>
      <w:tr w:rsidR="00C94400" w:rsidRPr="00C94400" w:rsidTr="00C94400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15.12.2008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C94400" w:rsidRPr="00C94400" w:rsidRDefault="00C94400" w:rsidP="00C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Решением акционеров №136 от 18.12.2008г.</w:t>
            </w:r>
          </w:p>
        </w:tc>
      </w:tr>
    </w:tbl>
    <w:p w:rsidR="00C94400" w:rsidRDefault="00C94400" w:rsidP="00C944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3D">
        <w:rPr>
          <w:rFonts w:ascii="Times New Roman" w:hAnsi="Times New Roman" w:cs="Times New Roman"/>
          <w:b/>
          <w:sz w:val="24"/>
          <w:szCs w:val="24"/>
        </w:rPr>
        <w:t>7. Акционеры и участники</w:t>
      </w:r>
    </w:p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569"/>
        <w:gridCol w:w="1942"/>
        <w:gridCol w:w="2138"/>
        <w:gridCol w:w="916"/>
      </w:tblGrid>
      <w:tr w:rsidR="008D3E3D" w:rsidRPr="008D3E3D" w:rsidTr="008D3E3D">
        <w:trPr>
          <w:tblHeader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Наименование/Ф.И.О.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лица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Признак </w:t>
            </w:r>
            <w:proofErr w:type="spellStart"/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резидентства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proofErr w:type="gramStart"/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D3E3D" w:rsidRPr="008D3E3D" w:rsidTr="008D3E3D">
        <w:trPr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18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 Национальный банк Республики Казахстан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Резидент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Финансовая отчетность</w:t>
      </w:r>
    </w:p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E3D" w:rsidRPr="008D3E3D" w:rsidRDefault="008D3E3D" w:rsidP="008D3E3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</w:rPr>
      </w:pPr>
      <w:r w:rsidRPr="008D3E3D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</w:rPr>
        <w:t>Бухгалтерский баланс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3793"/>
        <w:gridCol w:w="544"/>
        <w:gridCol w:w="1735"/>
        <w:gridCol w:w="1804"/>
      </w:tblGrid>
      <w:tr w:rsidR="008D3E3D" w:rsidRPr="008D3E3D" w:rsidTr="008D3E3D">
        <w:trPr>
          <w:tblHeader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На конец отчетного периода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На начало отчетного периода</w:t>
            </w:r>
          </w:p>
        </w:tc>
      </w:tr>
      <w:tr w:rsidR="008D3E3D" w:rsidRPr="008D3E3D" w:rsidTr="008D3E3D">
        <w:tc>
          <w:tcPr>
            <w:tcW w:w="0" w:type="auto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АКТИВЫ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I. Краткосрочные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90 226 916,00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14 180 166,00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Краткосрочные финансовые инвестиции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12 054 134,00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9 175 967,00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Краткосрочная дебиторская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1 363 845,00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1 201 433,00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Запасы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2 823,00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Текущие налоговые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Долгосрочные активы, предназначенные для продажи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Прочие краткосрочные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016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5 433,00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2 791,00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Итого краткосрочных активов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103 651 184,00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24 563 192,00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II. Долгосрочные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Долгосрочные финансовые инвестиции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18 881 437,00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1 990 850,00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Долгосрочная дебиторская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Инвестиции, учитываемые методом долевого участия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Инвестиционная недвижимость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4 762,00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5 167,00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Биологические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Разведочные и оценочные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2 292,00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819,00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1 380,00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1 200,00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Прочие долгосрочные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Итого долгосрочных активов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18 889 871,00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1 998 036,00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Баланс (стр. 100 + стр. 200)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122 541 055,00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26 561 228,00</w:t>
            </w:r>
          </w:p>
        </w:tc>
      </w:tr>
      <w:tr w:rsidR="008D3E3D" w:rsidRPr="008D3E3D" w:rsidTr="008D3E3D">
        <w:tc>
          <w:tcPr>
            <w:tcW w:w="0" w:type="auto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ОБЯЗАТЕЛЬСТВА И КАПИТАЛ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III.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Краткосрочные финансовые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Обязательства по налогам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2 921,00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Обязательства по другим обязательным и добровольным платежам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625,00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Краткосрочная кредиторская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42 741,00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18 730,00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Краткосрочные оценочные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11 517,00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1 374,00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Прочие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035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Итого краткосрочных обязательств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300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57 804,00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20 106,00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Долгосрочные финансовые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040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Долгосрочная кредиторская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041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Долгосрочные оценочные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042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6 071,00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043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Прочие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044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Итого </w:t>
            </w:r>
            <w:proofErr w:type="gramStart"/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долгосрочные</w:t>
            </w:r>
            <w:proofErr w:type="gramEnd"/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обязательств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400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6 071,00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V.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Уставный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100 000 000,00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16 000 000,00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Неоплаченный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Выкупленные собственные долевые инструменты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Эмиссионный доход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Резервы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20 823 589,00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10 085 200,00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Нераспределенный доход (непокрытый убыток)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1 659 662,00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449 851,00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Доля меньшинства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056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Итого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500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122 483 251,00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26 535 051,00</w:t>
            </w:r>
          </w:p>
        </w:tc>
      </w:tr>
      <w:tr w:rsidR="008D3E3D" w:rsidRPr="008D3E3D" w:rsidTr="008D3E3D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Баланс (стр. 300 + стр. 400 + стр. 500)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122 541 055,00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3E3D" w:rsidRPr="008D3E3D" w:rsidRDefault="008D3E3D" w:rsidP="008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D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26 561 228,00</w:t>
            </w:r>
          </w:p>
        </w:tc>
      </w:tr>
    </w:tbl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Пояснительная записка</w:t>
      </w:r>
    </w:p>
    <w:p w:rsid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 Акционерное Общество «Казахстанский Фонд Гарантирования Депозитов» создано на основании Постановления Правления Национального Банка Республики Казахстан от 15 ноября 1999 года № 393.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Свидетельство о государственной перерегистрации юридического лица № 30190-1910-АО от 21 октября 2004 года выдано Департаментом юстиции города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(дата первичной регистрации - 20.12.1999 года).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зарегистрирован в органах статистики 22 декабря 1999 года и ему присвоен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код по государственному классификатору ОКПО 39097277, что подтверждается статистической карточкой, выданной Агентством Республики Казахстан по статистике.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Свидетельство налогоплательщика Республики Казахстан серии 60 № 0047181 от 10 ноября 2004 года, выданное Налоговым комитетом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Бостандыкскому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подтверждает государственную регистрацию Фонда в качестве налогоплательщика с 23 декабря 1999 года с присвоением ему  РНН 600400112748.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Юридический и фактический адрес: 050040,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Бостандыкский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м-он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«Коктем-3», д.21.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Банковские реквизиты Фонда: ИИК 368 609 000 в УУМО  ГУ НБРК, БИК 190 201 125,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Кбе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Целью деятельности Фонда является  обеспечение стабильности финансовой системы, в том числе поддержание доверия к банковской системе путем выплат гарантийного возмещения депозиторам в случае принудительной ликвидации банка - участника системы обязательного гарантирования депозитов.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 Учетная политика АО «Казахстанский фонд гарантирования депозитов» (далее Фонд) разработана в соответствии с требованиями законодательства Республики Казахстан и Международных стандартов финансовой отчетности (далее МСФО). При ведении бухгалтерского учета и составлении финансовой отчетности Фондом применяются принципы непрерывности деятельности и начисления и основные качественные характеристики: понятность, уместность, надежность и сопоставимость.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По состоянию на 31.12.2008 года остаток по основным средствам и нематериальным активам составляет 15 05</w:t>
      </w:r>
      <w:r w:rsidRPr="008D3E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>тыс. 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данном отчетном периоде были приобретены основные средства и нематериальные активы на общую сумму  5 377</w:t>
      </w:r>
      <w:r w:rsidRPr="008D3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енге, из них: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Основные средства на общую сумму 2 610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из них: машины и оборудование, передаточные устройства на 61 тыс.тенге, прочие компьютеры, компьютерное оборудование на 2 123,9 тенге, устройства связи (аппаратура телеграфной связи, аппаратура телефонной связи) на 20 тыс.тенге, мебель для офиса  на 392 тыс. тенге, и прочие основные средства  на 13,7тыс.тенге.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Нематериальные активы на общую сумму  2 767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из них: лицензионные соглашения на 47 тыс. тенге, программное обеспечение на 2 720 тыс.тенге.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Так же, списаны в связи с непригодностью основные средства на общую сумму 2 734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реализованы на сумму 2 159 тыс.тенге. Списано морально устаревшая интеллектуальная собственность на сумму 210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енге. Данные списания производились согласно правилам, по решению специально назначенной комиссией, все необходимые акты и протокола присутствуют. </w:t>
      </w:r>
    </w:p>
    <w:p w:rsidR="008D3E3D" w:rsidRDefault="008D3E3D" w:rsidP="008D3E3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right="7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 Всего начислено амортизации со дня ввода в эксплуатацию на основные средства 5 866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и на нематериальные активы 2 137 тыс.тенге.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 АО "КФГД" не имеет на правах собственности землю, здания и сооружения, транспортные средства. Так же отсутствуют: долгосрочные арендуемые основные средства, незавершенное строительство, дочерние и зависимые организации, инвестиции в недвижимость.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 В отчетном периоде были приобретены ТМЗ на общую сумму 1 449,7тыс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и списаны на общую сумму 1 025 тыс.тенге. Товарно-материальные запасы списывались для осуществления деятельности организации. Остаток по состоянию на 31.12.2008 года по ТМЗ составляют 840 тыс. 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Списание товарно-материальных запасов производится в течение  каждого месяца по мере необходимости на основании актов на их списание и требований на отпуск материала.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 Дебиторская задолженность по состоянию на 31.12.2008 года составляет 1 369 032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из них наиболее существенные задолженности являются краткосрочными: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начисленные вознаграждения по ценным бумагам имеющимся в наличии для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продажи/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.Ф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- 472 801 тыс.тенге (метод начисления);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начисленное вознаграждение по операциям обратное РЕПО с государственными ценными бумагами/ НБ РК УУМО - 1 137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(метод начисления);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"Начисленные календарные взносы банков-участников", Банки участники СГВ - 889 738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(метод начисления);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ТОО "Фирма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ФинАудит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 - 470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АО "БТА Банк" (аванс выданный банку-агенту по выплате возмещения)  - 4 632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задолженность должностных лиц - 168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8D3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Казахстан  предоплата за услуги связи - 70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Текущие налоговые активы на 31.12.2008 год составляют 16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данная задолженность образовалась в связи с переплатой суммы по налогу на имущество.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Фонд не имеет долгосрочной дебиторской задолженности.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Фонд  посредством  доверительного управляющего - Департамента Монетарных Операций (ДМО) Национального банка РК размещает свои активы в финансовые инструменты, такие как государственные и негосударственные ценные бумаги,  агентские облигации эмитентов Республики Казахстан. Покупка   или   продажа   финансовых   активов,   требующих   поставки   активов   в   период, определяемый законодательством или соглашением на рынке, признаются на дату заключения сделки, т.е. на дату, на которую Фонд принимает на себя обязательства по покупке или продаже актива.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Фонд признает финансовый актив или финансовое обязательство в своем балансе только тогда, когда он становиться стороной договорных положений финансового инструмента.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Финансовые инвестиции классифицируются как годные для продажи.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Финансовые инвестиции Фонда составляют  ГЦБ (ЦБ Минфина, облигац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ии АО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КИК, Ноты НБРК). По состоянию на 31.12.2008 года общая сумма финансовых инвестиции составляют 30 935 571тыс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енге. Из них 12 054 134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енге краткосрочные финансовые инвестиции (из них 55 854 тыс.тенге ГЦБ, 10 998 тыс.тенге Ноты НБ РК). Так же прочие краткосрочные финансовые инвестиции составляют 1 000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000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от операции обратное РЕПО в ГЦБ. Всего долгосрочные финансовые инвестиции составляют 18 881 437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енге. Из них 17 914 625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енге долгосрочные финансовые инвестиций имеющиеся в наличие для продажи в ГЦБ, и 966 812 тыс.тенге облигации АО КИК.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Начисленные д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оходы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отчетный год по финансовым инвестициям в виде вознаграждения интереса Фонда составляют 1 039 183 тыс.тенге и в виде дисконта 738 059 тыс.тенге.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9.   В течение 2008 года Уставный капитал Фонда был дважды пополнен  путем выпуска акций на  сумму 84 млрд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енге (в августе на 14 млрд.тенге, в декабре на 70 млрд.тенге).    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Резервный капитал формируется для покрытия убытков, в размере не менее одного процента от его объявленного уставного капитала. В апреле 2008 год за счет чистого дохода был  доведен до минимального уровня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 31 декабря 2008 года  сумма резервного капитала составила 160 000 тыс.тенге. 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Специальный резерв  гарантирования для возмещения вкладов физических лиц формируется за счет календарных взносов банков-участников, поступлений от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ликвидкомиссии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отчислений от чистого дохода.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На конец </w:t>
      </w:r>
      <w:r>
        <w:rPr>
          <w:rFonts w:ascii="Times New Roman CYR" w:hAnsi="Times New Roman CYR" w:cs="Times New Roman CYR"/>
          <w:sz w:val="24"/>
          <w:szCs w:val="24"/>
        </w:rPr>
        <w:t>2008 года сумма его составила 20 503 373 тыс.тенге (из них взносы банков-участников- 15 286 316 тыс.тенге, ликвидационная комиссия - 2 805 266 тыс.тенге, чистый доход- 2 411 791 тыс.тенге).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31.12.2008 года  имеется резерв на переоценку имеющихся в наличии активов, который равен минус 160 216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10.   Займы отсутствуют.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11.   Дивиденды не рассчитываются.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12. Кредиторская задолженность составила 57 804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из них наиболее существенные задолженности являются краткосрочными: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корпоративный подоходный налог - 2 819 тыс. тенге;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расчеты по накопительному пенсионному фонду - 617 тыс. тенге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краткосрочное вознаграждение работников начисленное за 2008 год - 10 244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переплата по взносам банков-участников - 39 962 тыс. тенге;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ТОО «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Медиа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 - 853 тыс.тенге за обеспечение конкурсной заявки;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НБ РК - 918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метод начисления расходов за услуги по доверительному управлению активами;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ТОО «Фирма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ФинАудит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 - 940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 метод начисление за аудиторские услуги;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ТОО 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Тамыр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Аудит» - 333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метод начисление за аудиторские услуги.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Фонд не имеет долгосрочной кредиторской задолженности.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13.</w:t>
      </w:r>
      <w:r>
        <w:rPr>
          <w:rFonts w:ascii="Times New Roman CYR" w:hAnsi="Times New Roman CYR" w:cs="Times New Roman CYR"/>
          <w:sz w:val="24"/>
          <w:szCs w:val="24"/>
        </w:rPr>
        <w:tab/>
        <w:t>Доходы за 2008 год составили 2 519 567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из них: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- 187 516 тыс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енге - доход от реализации имущества полученного от ликвидационной комиссии в счет выплаченного гарантийного возмещения 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- 554 809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 прочие доходы, в том числе доход от курсовой разницы-554 002 тыс.тенге;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- 1 777 242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доходы от финансирования: 1 224 661тыс.тенге -доход  по ГЦБ, 105 005 тыс.тенге- доход по ценным бумагам АО «КИК», 382 805 тыс.тенге доход в виде вознаграждения по депозитам в НБ РК, 19 763 тыс.тенге- доход по ЦБ США, 45 008 тыс. тенге доходы по операциям от купли-продажи  РЕПО (обратное).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Прочие расходы за 2008 год составили 444 314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енге, из них: 1 117 тыс.тенге-расходы по выбытию основных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средств,отрицательная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курсовая разница на сумму 443 113 тыс.тенге, и прочие расходы на сумму 84 тыс.тенге.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Ообщие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административные расходы за отчетный период  составили 189 912 тыс. тенге, из них: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598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материальные, канцелярские и типографские расходы;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89 319 тыс. тенге - заработная плата;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6 938 тыс. тенге - отчисления от оплаты труда;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3 192 тыс. тенге - амортизация основных средств и нематериальных активов;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1 321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-коммунальные расходы;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1 317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расходы по аренде;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9 144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командировочные расходы 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589 тыс. тенге - представительские расходы;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2 002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расходы на повышение квалификаций сотрудников Фонда;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20 593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расходы по налогам;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3 436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расходы по услугам связи;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9 816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расходы за банковские услуги, в том числе 9 552 тыс.тенге расходы по доверительному управлению деньгами (возмещение Национальному Банку);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1 311 тыс. тенге расходы на страхование ГПО и медицинская страховка;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28 111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тенге рекламные расходы: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2 140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 аудиторские услуги;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10 085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 -прочие расходы  (подписка, обслуживание программного обеспечения, информационно-разъяснительные работы, нотариальные расходы и т.п.).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  В отчетном периоде чистый доход  составил 1 659 581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енге, при плане 1 767 642 тыс.тенге.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  Сумма отсроченного подоходного налога составляет на </w:t>
      </w:r>
      <w:r w:rsidRPr="008D3E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1.12.2008 год 1 380 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енге.</w:t>
      </w: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D3E3D" w:rsidRDefault="008D3E3D" w:rsidP="008D3E3D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8D3E3D" w:rsidRPr="008D3E3D" w:rsidRDefault="008D3E3D" w:rsidP="008D3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3E3D" w:rsidRPr="008D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D11A4"/>
    <w:rsid w:val="008B5338"/>
    <w:rsid w:val="008D3E3D"/>
    <w:rsid w:val="00BD11A4"/>
    <w:rsid w:val="00C94400"/>
    <w:rsid w:val="00F6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1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9105">
          <w:marLeft w:val="0"/>
          <w:marRight w:val="0"/>
          <w:marTop w:val="0"/>
          <w:marBottom w:val="0"/>
          <w:divBdr>
            <w:top w:val="single" w:sz="4" w:space="2" w:color="5C87B2"/>
            <w:left w:val="single" w:sz="4" w:space="2" w:color="5C87B2"/>
            <w:bottom w:val="single" w:sz="4" w:space="2" w:color="5C87B2"/>
            <w:right w:val="single" w:sz="4" w:space="2" w:color="5C87B2"/>
          </w:divBdr>
        </w:div>
      </w:divsChild>
    </w:div>
    <w:div w:id="1480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3068</Words>
  <Characters>17488</Characters>
  <Application>Microsoft Office Word</Application>
  <DocSecurity>0</DocSecurity>
  <Lines>145</Lines>
  <Paragraphs>41</Paragraphs>
  <ScaleCrop>false</ScaleCrop>
  <Company>KDIF</Company>
  <LinksUpToDate>false</LinksUpToDate>
  <CharactersWithSpaces>20515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Bakdaulet</dc:creator>
  <cp:keywords/>
  <dc:description/>
  <cp:lastModifiedBy>Bakdaulet</cp:lastModifiedBy>
  <cp:revision>6</cp:revision>
  <dcterms:created xsi:type="dcterms:W3CDTF">2015-01-09T08:23:00Z</dcterms:created>
  <dcterms:modified xsi:type="dcterms:W3CDTF">2015-01-09T08:33:00Z</dcterms:modified>
</cp:coreProperties>
</file>