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5721334"/>
        <w:docPartObj>
          <w:docPartGallery w:val="Cover Pages"/>
          <w:docPartUnique/>
        </w:docPartObj>
      </w:sdtPr>
      <w:sdtEndPr/>
      <w:sdtContent>
        <w:p w:rsidR="005A63A3" w:rsidRDefault="005A63A3"/>
        <w:p w:rsidR="005A63A3" w:rsidRDefault="005A63A3"/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caps/>
              <w:spacing w:val="20"/>
              <w:lang w:eastAsia="it-IT"/>
            </w:rPr>
          </w:pPr>
          <w:r w:rsidRPr="005A63A3">
            <w:rPr>
              <w:rFonts w:ascii="Times New Roman" w:eastAsia="Calibri" w:hAnsi="Times New Roman" w:cs="Times New Roman"/>
              <w:b/>
              <w:caps/>
              <w:spacing w:val="20"/>
              <w:lang w:eastAsia="it-IT"/>
            </w:rPr>
            <w:t>Казахстанский фонд гарантирования депозитов</w:t>
          </w: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lang w:eastAsia="it-IT"/>
            </w:rPr>
          </w:pPr>
          <w:r w:rsidRPr="005A63A3">
            <w:rPr>
              <w:rFonts w:ascii="Times New Roman" w:eastAsia="Calibri" w:hAnsi="Times New Roman" w:cs="Times New Roman"/>
              <w:b/>
              <w:spacing w:val="20"/>
              <w:lang w:eastAsia="it-IT"/>
            </w:rPr>
            <w:t>Департамент методологии и расчета дифференцированных ставок взносов</w:t>
          </w: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28"/>
              <w:szCs w:val="28"/>
              <w:lang w:eastAsia="it-IT"/>
            </w:rPr>
          </w:pPr>
        </w:p>
        <w:p w:rsidR="005A63A3" w:rsidRPr="005A63A3" w:rsidRDefault="005A63A3" w:rsidP="005A63A3">
          <w:pPr>
            <w:spacing w:after="240"/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30"/>
              <w:szCs w:val="30"/>
              <w:lang w:eastAsia="it-IT"/>
            </w:rPr>
          </w:pPr>
          <w:r w:rsidRPr="005A63A3">
            <w:rPr>
              <w:rFonts w:ascii="Times New Roman" w:eastAsia="Calibri" w:hAnsi="Times New Roman" w:cs="Times New Roman"/>
              <w:b/>
              <w:spacing w:val="20"/>
              <w:sz w:val="30"/>
              <w:szCs w:val="30"/>
              <w:lang w:eastAsia="it-IT"/>
            </w:rPr>
            <w:t>КРАТКИЙ ИНФОРМАЦИОННЫЙ ОБЗОР</w:t>
          </w:r>
        </w:p>
        <w:p w:rsidR="005A63A3" w:rsidRPr="005A63A3" w:rsidRDefault="005A63A3" w:rsidP="005A63A3">
          <w:pPr>
            <w:tabs>
              <w:tab w:val="left" w:pos="3969"/>
            </w:tabs>
            <w:spacing w:after="120"/>
            <w:jc w:val="center"/>
            <w:outlineLvl w:val="0"/>
            <w:rPr>
              <w:rFonts w:ascii="Times New Roman" w:eastAsia="Calibri" w:hAnsi="Times New Roman" w:cs="Times New Roman"/>
              <w:b/>
              <w:spacing w:val="20"/>
              <w:sz w:val="30"/>
              <w:szCs w:val="30"/>
              <w:lang w:eastAsia="it-IT"/>
            </w:rPr>
          </w:pPr>
          <w:r w:rsidRPr="005A63A3">
            <w:rPr>
              <w:rFonts w:ascii="Times New Roman" w:eastAsia="Calibri" w:hAnsi="Times New Roman" w:cs="Times New Roman"/>
              <w:b/>
              <w:spacing w:val="20"/>
              <w:sz w:val="30"/>
              <w:szCs w:val="30"/>
              <w:lang w:eastAsia="it-IT"/>
            </w:rPr>
            <w:t>РЫНКА ДЕПОЗИТОВ ФИЗИЧЕСКИХ ЛИЦ</w:t>
          </w:r>
        </w:p>
        <w:p w:rsidR="005A63A3" w:rsidRPr="005A63A3" w:rsidRDefault="005A63A3" w:rsidP="005A63A3">
          <w:pPr>
            <w:spacing w:after="120"/>
            <w:jc w:val="center"/>
            <w:outlineLvl w:val="0"/>
            <w:rPr>
              <w:rFonts w:ascii="Times New Roman" w:eastAsia="Calibri" w:hAnsi="Times New Roman" w:cs="Times New Roman"/>
              <w:b/>
              <w:i/>
              <w:spacing w:val="20"/>
              <w:sz w:val="32"/>
              <w:szCs w:val="32"/>
              <w:lang w:eastAsia="it-IT"/>
            </w:rPr>
          </w:pPr>
          <w:r w:rsidRPr="005A63A3">
            <w:rPr>
              <w:rFonts w:ascii="Times New Roman" w:eastAsia="Calibri" w:hAnsi="Times New Roman" w:cs="Times New Roman"/>
              <w:b/>
              <w:i/>
              <w:spacing w:val="20"/>
              <w:sz w:val="30"/>
              <w:szCs w:val="30"/>
              <w:lang w:eastAsia="it-IT"/>
            </w:rPr>
            <w:t>За 2-ой квартал 2014 г.</w:t>
          </w:r>
        </w:p>
        <w:p w:rsidR="005A63A3" w:rsidRDefault="005A63A3"/>
        <w:p w:rsidR="005A63A3" w:rsidRDefault="005A63A3">
          <w:r>
            <w:br w:type="page"/>
          </w:r>
        </w:p>
      </w:sdtContent>
    </w:sdt>
    <w:p w:rsidR="005A63A3" w:rsidRPr="005A63A3" w:rsidRDefault="005A63A3" w:rsidP="005A63A3">
      <w:pPr>
        <w:spacing w:after="60" w:line="21" w:lineRule="atLeast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3">
        <w:rPr>
          <w:rFonts w:ascii="Times New Roman" w:eastAsia="Times New Roman" w:hAnsi="Times New Roman" w:cs="Garamond"/>
          <w:b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Обзор тенденций рынка вкладов физических лиц</w:t>
      </w:r>
    </w:p>
    <w:p w:rsidR="005A63A3" w:rsidRPr="005A63A3" w:rsidRDefault="005A63A3" w:rsidP="005A63A3">
      <w:pPr>
        <w:spacing w:before="120" w:after="120" w:line="2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A3" w:rsidRPr="005A63A3" w:rsidRDefault="005A63A3" w:rsidP="005A63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>По состоянию на 1 июля 2014 года депозиты населения в банках-участниках СГД достигли Т</w:t>
      </w: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proofErr w:type="gramEnd"/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,4 трлн., при этом рост депозитной базы за 2-ой квартал составил Т233,1 млрд., или 5,6%.  Изменение депозитной базы в тенге  составило +7,1% за квартал, в то время как рост по депозитам в иностранной валюте 3,8%, таким образом удельный вес вкладов в национальной валюте составил 46,4%, в иностранной валюте – 53,6%. </w:t>
      </w:r>
    </w:p>
    <w:p w:rsidR="005A63A3" w:rsidRPr="005A63A3" w:rsidRDefault="005A63A3" w:rsidP="005A63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3A3" w:rsidRPr="005A63A3" w:rsidRDefault="005A63A3" w:rsidP="005A63A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</w:pPr>
      <w:r w:rsidRPr="005A63A3">
        <w:rPr>
          <w:rFonts w:ascii="Times New Roman" w:eastAsia="Times New Roman" w:hAnsi="Times New Roman" w:cs="Times New Roman"/>
          <w:b/>
          <w:i/>
          <w:sz w:val="20"/>
          <w:lang w:eastAsia="ru-RU"/>
        </w:rPr>
        <w:t>Диаграмма 1. Динамика изменений совокупной суммы депозитов, депозитов в тенге и в иностранной валюте (</w:t>
      </w:r>
      <w:proofErr w:type="gramStart"/>
      <w:r w:rsidRPr="005A63A3">
        <w:rPr>
          <w:rFonts w:ascii="Times New Roman" w:eastAsia="Times New Roman" w:hAnsi="Times New Roman" w:cs="Times New Roman"/>
          <w:b/>
          <w:i/>
          <w:sz w:val="20"/>
          <w:lang w:eastAsia="ru-RU"/>
        </w:rPr>
        <w:t>в</w:t>
      </w:r>
      <w:proofErr w:type="gramEnd"/>
      <w:r w:rsidRPr="005A63A3">
        <w:rPr>
          <w:rFonts w:ascii="Times New Roman" w:eastAsia="Times New Roman" w:hAnsi="Times New Roman" w:cs="Times New Roman"/>
          <w:b/>
          <w:i/>
          <w:sz w:val="20"/>
          <w:lang w:eastAsia="ru-RU"/>
        </w:rPr>
        <w:t xml:space="preserve"> %)</w:t>
      </w:r>
    </w:p>
    <w:p w:rsidR="005A63A3" w:rsidRPr="005A63A3" w:rsidRDefault="005A63A3" w:rsidP="00CA0B01">
      <w:pPr>
        <w:spacing w:after="0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324475" cy="26574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6F4D" w:rsidRDefault="00B66F4D" w:rsidP="005A63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63A3" w:rsidRPr="005A63A3" w:rsidRDefault="005A63A3" w:rsidP="005A63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депозитный портфель банков-участников состоит на 88,4%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Т3,9 трлн. из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срочных и условных вкладов,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увеличившиеся за квартал на 4,6%,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остатков на текущих и карт-счетах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долей 10,6%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Т463,3 млрд., объем которых за квартал вырос на 14,8%, 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вкладов до востребования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долей 1,0%,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Т43,5 млрд.</w:t>
      </w:r>
      <w:proofErr w:type="gramEnd"/>
    </w:p>
    <w:p w:rsidR="005A63A3" w:rsidRPr="005A63A3" w:rsidRDefault="005A63A3" w:rsidP="005A63A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A3" w:rsidRPr="005A63A3" w:rsidRDefault="005A63A3" w:rsidP="005A63A3">
      <w:pPr>
        <w:spacing w:after="0"/>
        <w:rPr>
          <w:rFonts w:ascii="Times New Roman" w:eastAsia="Calibri" w:hAnsi="Times New Roman" w:cs="Times New Roman"/>
          <w:b/>
          <w:i/>
          <w:noProof/>
          <w:sz w:val="20"/>
          <w:lang w:eastAsia="ru-RU"/>
        </w:rPr>
      </w:pPr>
      <w:r w:rsidRPr="005A63A3">
        <w:rPr>
          <w:rFonts w:ascii="Times New Roman" w:eastAsia="Times New Roman" w:hAnsi="Times New Roman" w:cs="Times New Roman"/>
          <w:b/>
          <w:i/>
          <w:sz w:val="20"/>
          <w:lang w:eastAsia="it-IT"/>
        </w:rPr>
        <w:t xml:space="preserve">Диаграмма 2. </w:t>
      </w:r>
      <w:r w:rsidRPr="005A63A3">
        <w:rPr>
          <w:rFonts w:ascii="Times New Roman" w:eastAsia="Calibri" w:hAnsi="Times New Roman" w:cs="Times New Roman"/>
          <w:b/>
          <w:i/>
          <w:noProof/>
          <w:sz w:val="20"/>
          <w:lang w:eastAsia="ru-RU"/>
        </w:rPr>
        <w:t>Структура розничных депозитов по основным категориям (млрд. тенге).</w:t>
      </w:r>
    </w:p>
    <w:p w:rsidR="005A63A3" w:rsidRPr="005A63A3" w:rsidRDefault="005A63A3" w:rsidP="005A63A3">
      <w:pPr>
        <w:spacing w:after="0"/>
        <w:jc w:val="center"/>
        <w:rPr>
          <w:rFonts w:ascii="Calibri" w:eastAsia="Calibri" w:hAnsi="Calibri" w:cs="Times New Roman"/>
          <w:noProof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10175" cy="2952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3A3" w:rsidRPr="005A63A3" w:rsidRDefault="005A63A3" w:rsidP="005A63A3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Срочные и условные вклады до Т5 млн., 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29,5% (или Т</w:t>
      </w: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трлн.) портфеля депозитов банков-участников, за квартал выросшие на Т45,3 млрд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Срочные вклады с суммами от Т5 до Т15 млн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 на Т23,8 млрд. и составил Т529,6 млрд. или 12,</w:t>
      </w:r>
      <w:r w:rsidRPr="005A63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совокупного объема депозитов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Срочные и условные вклады свыше Т15 млн., 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занимающие самую большую долю в портфеле депозитов 46,8%, выросли на Т99,35 млрд. </w:t>
      </w:r>
      <w:r w:rsidRPr="005A63A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Вклады до востребования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населения за квартал увеличились на 13,1%, или Т5,0 млрд., доля составляет 1,0% от всей депозитной базы физических лиц.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</w:t>
      </w:r>
      <w:r w:rsidRPr="005A63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остатков </w:t>
      </w:r>
      <w:proofErr w:type="gramStart"/>
      <w:r w:rsidRPr="005A63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5A63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текущих и карт-счетах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Т463,3 млрд., в результате прироста в размере Т59,6 млрд.</w:t>
      </w:r>
      <w:r w:rsidR="00E22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A63A3" w:rsidRPr="005A63A3" w:rsidRDefault="005A63A3" w:rsidP="005A63A3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Дополнительно, хотелось бы отметить, что 6,3% всех розничных депозитов, или Т273,5 млрд., в том числе суммы </w:t>
      </w: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</w:t>
      </w:r>
      <w:proofErr w:type="gramEnd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карт-счетах, принадлежат руководящим работникам, а также акционерам, владеющим 5% и более % - акций с правом голоса, их близким родственникам. За отчетный квартал сумма таких депозитов увеличилась на Т10,6 млрд., или на 4,1%.</w:t>
      </w:r>
    </w:p>
    <w:p w:rsidR="005A63A3" w:rsidRPr="005A63A3" w:rsidRDefault="005A63A3" w:rsidP="005A63A3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3">
        <w:rPr>
          <w:rFonts w:ascii="Times New Roman" w:eastAsia="Calibri" w:hAnsi="Times New Roman" w:cs="Times New Roman"/>
          <w:sz w:val="24"/>
          <w:szCs w:val="24"/>
        </w:rPr>
        <w:t>Совокупная сумма гарантийного возмещения по депозитам физических лиц в БВУ, подлежащая выплате Фондом, по состоянию на 1 июля 2014 г. составляет Т</w:t>
      </w:r>
      <w:proofErr w:type="gramStart"/>
      <w:r w:rsidRPr="005A63A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,3 трлн. При этом специальный резерв Фонда на отчетную дату составляет  Т189,2 млрд. без учета средств уставного капитала Фонда. </w:t>
      </w:r>
      <w:r w:rsidRPr="005A63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 случае необходимости Фонд по решению Акционера может использовать до 70% уставного капитала для пополнения дефицита специального резерва Фонда, который в этом случае достигнет </w:t>
      </w:r>
      <w:r w:rsidRPr="005A63A3">
        <w:rPr>
          <w:rFonts w:ascii="Times New Roman" w:eastAsia="Calibri" w:hAnsi="Times New Roman" w:cs="Times New Roman"/>
          <w:sz w:val="24"/>
          <w:szCs w:val="24"/>
        </w:rPr>
        <w:t>Т291,9 млрд., или 12,9% от совокупной суммы гарантийного возмещения и 6,7 % от общего депозитного портфеля в банках-участниках.</w:t>
      </w:r>
    </w:p>
    <w:p w:rsidR="00CA0B01" w:rsidRPr="005A63A3" w:rsidRDefault="005A63A3" w:rsidP="00CA0B0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отчетного квартала согласно системе расчетов дифференцированных ставок обязательных календарных взносов «БАТА», большая часть банков состоит в группе «</w:t>
      </w:r>
      <w:r w:rsidRPr="005A6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ежеквартальной ставкой – 0,11% (15 банков) и группе «</w:t>
      </w:r>
      <w:r w:rsidRPr="005A6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ежеквартальной ставкой – 0,19% (10 банков). За квартал 7 банков-участников улучшили свои показатели, и перешли в группу с низкой ставкой взноса. 3 банка-участника определены в классификационную группу «</w:t>
      </w:r>
      <w:r w:rsidRPr="005A6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ежеквартальной ставкой 0,5%. </w:t>
      </w:r>
    </w:p>
    <w:p w:rsidR="005A63A3" w:rsidRPr="005A63A3" w:rsidRDefault="005A63A3" w:rsidP="005A63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5A63A3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Диаграмма 3. Поквартальная динамика банков в  классификационных группах Системы «БАТА» </w:t>
      </w:r>
    </w:p>
    <w:p w:rsidR="005A63A3" w:rsidRPr="005A63A3" w:rsidRDefault="005A63A3" w:rsidP="005A63A3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5A63A3" w:rsidRPr="005A63A3" w:rsidRDefault="005A63A3" w:rsidP="005A63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962525" cy="30289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63A3" w:rsidRPr="005A63A3" w:rsidRDefault="005A63A3" w:rsidP="005A63A3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Совокупная сумма календарных взносов, уплаченная банками - участниками за 2-ой квартал 2014 года, составила Т8,7 млрд. и увеличилась на Т</w:t>
      </w:r>
      <w:proofErr w:type="gramStart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A63A3">
        <w:rPr>
          <w:rFonts w:ascii="Times New Roman" w:eastAsia="Times New Roman" w:hAnsi="Times New Roman" w:cs="Times New Roman"/>
          <w:sz w:val="24"/>
          <w:szCs w:val="24"/>
          <w:lang w:eastAsia="ru-RU"/>
        </w:rPr>
        <w:t>,1 млрд. по сравнению с предыдущим периодом, что в основном связано с ростом депозитной базы, снижением рейтинга одного из самых крупных банков-участников СГД и соответственного роста ставок календарных взносов.</w:t>
      </w:r>
    </w:p>
    <w:p w:rsidR="005A63A3" w:rsidRPr="005A63A3" w:rsidRDefault="005A63A3" w:rsidP="005A63A3">
      <w:pPr>
        <w:tabs>
          <w:tab w:val="left" w:pos="1650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Совокупная сумма выплаченного гарантийного возмещения Фондом по состоянию на 1 августа составила Т679,5 млн. по </w:t>
      </w:r>
      <w:proofErr w:type="spellStart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>Наурыз</w:t>
      </w:r>
      <w:proofErr w:type="spellEnd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Банку</w:t>
      </w:r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 и Т13,9 млрд. по </w:t>
      </w:r>
      <w:proofErr w:type="gramStart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>Валют-Транзит</w:t>
      </w:r>
      <w:proofErr w:type="gramEnd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Банку</w:t>
      </w:r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. Сумма, полученная в порядке удовлетворения требований Фонда по суммам выплаченного гарантийного возмещения ликвидационной комиссией </w:t>
      </w:r>
      <w:proofErr w:type="spellStart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>Наурыз</w:t>
      </w:r>
      <w:proofErr w:type="spellEnd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Банка</w:t>
      </w:r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 достигла Т679,4 млн. или 88,01%</w:t>
      </w:r>
      <w:r w:rsidRPr="005A63A3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</w:t>
      </w:r>
      <w:r w:rsidRPr="005A63A3">
        <w:rPr>
          <w:rFonts w:ascii="Times New Roman" w:eastAsia="Calibri" w:hAnsi="Times New Roman" w:cs="Times New Roman"/>
          <w:sz w:val="24"/>
          <w:szCs w:val="24"/>
        </w:rPr>
        <w:t xml:space="preserve">от совокупной суммы требований Фонда к ликвидационной комиссии, а по </w:t>
      </w:r>
      <w:proofErr w:type="gramStart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>Валют-Транзит</w:t>
      </w:r>
      <w:proofErr w:type="gramEnd"/>
      <w:r w:rsidRPr="005A63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Банку </w:t>
      </w:r>
      <w:r w:rsidRPr="005A63A3">
        <w:rPr>
          <w:rFonts w:ascii="Times New Roman" w:eastAsia="Calibri" w:hAnsi="Times New Roman" w:cs="Times New Roman"/>
          <w:sz w:val="24"/>
          <w:szCs w:val="24"/>
        </w:rPr>
        <w:t>– Т8,5 млрд. или около 60,6% от совокупной суммы требований Фонда.</w:t>
      </w:r>
    </w:p>
    <w:p w:rsidR="005A63A3" w:rsidRPr="005A63A3" w:rsidRDefault="005A63A3" w:rsidP="005A63A3">
      <w:pPr>
        <w:tabs>
          <w:tab w:val="left" w:pos="6885"/>
        </w:tabs>
        <w:spacing w:after="120"/>
        <w:ind w:firstLine="567"/>
        <w:jc w:val="right"/>
        <w:rPr>
          <w:rFonts w:ascii="Times New Roman" w:eastAsia="Times New Roman" w:hAnsi="Times New Roman" w:cs="Times New Roman"/>
          <w:i/>
          <w:color w:val="0000CC"/>
          <w:sz w:val="24"/>
          <w:szCs w:val="24"/>
          <w:lang w:eastAsia="ru-RU"/>
        </w:rPr>
      </w:pPr>
      <w:r w:rsidRPr="005A63A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A63A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tbl>
      <w:tblPr>
        <w:tblW w:w="9309" w:type="dxa"/>
        <w:tblInd w:w="93" w:type="dxa"/>
        <w:tblLook w:val="04A0" w:firstRow="1" w:lastRow="0" w:firstColumn="1" w:lastColumn="0" w:noHBand="0" w:noVBand="1"/>
      </w:tblPr>
      <w:tblGrid>
        <w:gridCol w:w="15"/>
        <w:gridCol w:w="549"/>
        <w:gridCol w:w="3666"/>
        <w:gridCol w:w="1701"/>
        <w:gridCol w:w="1273"/>
        <w:gridCol w:w="428"/>
        <w:gridCol w:w="1628"/>
        <w:gridCol w:w="49"/>
      </w:tblGrid>
      <w:tr w:rsidR="005A63A3" w:rsidRPr="005A63A3" w:rsidTr="003514F5">
        <w:trPr>
          <w:gridBefore w:val="1"/>
          <w:gridAfter w:val="1"/>
          <w:wBefore w:w="15" w:type="dxa"/>
          <w:wAfter w:w="49" w:type="dxa"/>
          <w:trHeight w:val="509"/>
        </w:trPr>
        <w:tc>
          <w:tcPr>
            <w:tcW w:w="9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сведений банков-участников по депозитам физических лиц</w:t>
            </w:r>
          </w:p>
        </w:tc>
      </w:tr>
      <w:tr w:rsidR="005A63A3" w:rsidRPr="005A63A3" w:rsidTr="003514F5">
        <w:trPr>
          <w:gridBefore w:val="1"/>
          <w:gridAfter w:val="1"/>
          <w:wBefore w:w="15" w:type="dxa"/>
          <w:wAfter w:w="49" w:type="dxa"/>
          <w:trHeight w:val="255"/>
        </w:trPr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3A3" w:rsidRPr="003514F5" w:rsidRDefault="005A63A3" w:rsidP="005A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A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                                    по состоянию на  1 июля 2014г.</w:t>
            </w:r>
          </w:p>
          <w:p w:rsidR="00CA0B01" w:rsidRPr="003514F5" w:rsidRDefault="00CA0B01" w:rsidP="005A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A3" w:rsidRPr="005A63A3" w:rsidRDefault="005A63A3" w:rsidP="005A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3514F5" w:rsidRPr="005A63A3" w:rsidTr="003514F5">
        <w:tblPrEx>
          <w:jc w:val="center"/>
        </w:tblPrEx>
        <w:trPr>
          <w:trHeight w:val="759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Сумма</w:t>
            </w: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(тысяч тенге)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A86BCC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Изменение за 2-ой кв. 2014 г.</w:t>
            </w: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3514F5" w:rsidRPr="00A86BCC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Количество счетов</w:t>
            </w:r>
          </w:p>
          <w:p w:rsidR="003514F5" w:rsidRPr="005A63A3" w:rsidRDefault="003514F5" w:rsidP="0035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63A3" w:rsidRPr="005A63A3" w:rsidTr="003514F5">
        <w:tblPrEx>
          <w:jc w:val="center"/>
        </w:tblPrEx>
        <w:trPr>
          <w:trHeight w:val="580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Всего депозитов физических лиц в тенге и иностранной валюте,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4 364 680 565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233 089 767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22 257 582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Вклады до востребования,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43 472 745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5 021 031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1 634 092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17 267 785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199 243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1 508 796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26 204 960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4 821 788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125 296</w:t>
            </w:r>
          </w:p>
        </w:tc>
      </w:tr>
      <w:tr w:rsidR="005A63A3" w:rsidRPr="005A63A3" w:rsidTr="003514F5">
        <w:tblPrEx>
          <w:jc w:val="center"/>
        </w:tblPrEx>
        <w:trPr>
          <w:trHeight w:val="998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Вклады до востребования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11 302 598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3 592 955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258</w:t>
            </w:r>
          </w:p>
        </w:tc>
      </w:tr>
      <w:tr w:rsidR="005A63A3" w:rsidRPr="005A63A3" w:rsidTr="003514F5">
        <w:tblPrEx>
          <w:jc w:val="center"/>
        </w:tblPrEx>
        <w:trPr>
          <w:trHeight w:val="263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Срочные и условные вклады,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3 857 937 587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168 442 022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2 473 774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тенге,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1 614 306 426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87 747 832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1 870 297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до 1000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283 498 917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6 859 072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1 545 385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1000 тысяч тенге до 3000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376 839 280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13 639 866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230 853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3000 тысяч тенге до 5000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206 113 477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10 671 321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53 475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5000 тысяч тенге до 10 000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177 042 995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12 155 884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27 707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10 000 тысяч тенге до 15 000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58 657 948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2 802 634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4 927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свыше 15 000 тысяч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512 153 809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41 619 055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7 950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иностранной валюте,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2 243 631 161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80 694 190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603 477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до 1000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84 932 611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2 901 796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409 426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1000 тысяч тенге до 3 000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183 903 948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7 407 246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103 554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3 000 тысяч тенге до 5 000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152 453 101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3 800 404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38 603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5 000 тысяч тенге до 10 000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200 347 747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6 698 267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29 367</w:t>
            </w:r>
          </w:p>
        </w:tc>
      </w:tr>
      <w:tr w:rsidR="005A63A3" w:rsidRPr="005A63A3" w:rsidTr="003514F5">
        <w:tblPrEx>
          <w:jc w:val="center"/>
        </w:tblPrEx>
        <w:trPr>
          <w:trHeight w:val="5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от 10 000 тысяч тенге до 15 000 тысяч тенге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93 542 940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2 156 038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7 708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свыше 15 000 тысяч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1 528 450 814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57 730 440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14 819</w:t>
            </w:r>
          </w:p>
        </w:tc>
      </w:tr>
      <w:tr w:rsidR="005A63A3" w:rsidRPr="005A63A3" w:rsidTr="003514F5">
        <w:tblPrEx>
          <w:jc w:val="center"/>
        </w:tblPrEx>
        <w:trPr>
          <w:trHeight w:val="809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Срочные и условные вклады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258 286 673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6 393 389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1 857</w:t>
            </w:r>
          </w:p>
        </w:tc>
      </w:tr>
      <w:tr w:rsidR="005A63A3" w:rsidRPr="005A63A3" w:rsidTr="003514F5">
        <w:tblPrEx>
          <w:jc w:val="center"/>
        </w:tblPrEx>
        <w:trPr>
          <w:trHeight w:val="552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Остатки денег на текущих счетах (с учетом остатков денег на </w:t>
            </w:r>
            <w:proofErr w:type="gramStart"/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карт-счетах</w:t>
            </w:r>
            <w:proofErr w:type="gramEnd"/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)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463 270 233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59 626 714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18 149 716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395 236 190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55 247 826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17 274 377</w:t>
            </w:r>
          </w:p>
        </w:tc>
      </w:tr>
      <w:tr w:rsidR="005A63A3" w:rsidRPr="005A63A3" w:rsidTr="003514F5">
        <w:tblPrEx>
          <w:jc w:val="center"/>
        </w:tblPrEx>
        <w:trPr>
          <w:trHeight w:val="255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3A3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68 034 043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4 378 888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875 339</w:t>
            </w:r>
          </w:p>
        </w:tc>
      </w:tr>
      <w:tr w:rsidR="005A63A3" w:rsidRPr="005A63A3" w:rsidTr="003514F5">
        <w:tblPrEx>
          <w:jc w:val="center"/>
        </w:tblPrEx>
        <w:trPr>
          <w:trHeight w:val="1148"/>
          <w:jc w:val="center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3A3" w:rsidRPr="005A63A3" w:rsidRDefault="005A63A3" w:rsidP="005A63A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Остатки денег на текущих счетах (с учетом остатков денег на </w:t>
            </w:r>
            <w:proofErr w:type="gramStart"/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карт-счетах</w:t>
            </w:r>
            <w:proofErr w:type="gramEnd"/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)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3 870</w:t>
            </w:r>
            <w:r w:rsidR="00CA0B0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3" w:rsidRPr="005A63A3" w:rsidRDefault="005A63A3" w:rsidP="00CA0B0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660 886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3" w:rsidRPr="005A63A3" w:rsidRDefault="005A63A3" w:rsidP="00CA0B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3A3">
              <w:rPr>
                <w:rFonts w:ascii="Times New Roman" w:eastAsia="Calibri" w:hAnsi="Times New Roman" w:cs="Times New Roman"/>
                <w:sz w:val="18"/>
                <w:szCs w:val="18"/>
              </w:rPr>
              <w:t>11 648</w:t>
            </w:r>
          </w:p>
        </w:tc>
      </w:tr>
    </w:tbl>
    <w:p w:rsidR="005A63A3" w:rsidRPr="005A63A3" w:rsidRDefault="005A63A3" w:rsidP="00CA0B01">
      <w:pPr>
        <w:tabs>
          <w:tab w:val="left" w:pos="1650"/>
        </w:tabs>
        <w:spacing w:after="12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</w:pPr>
    </w:p>
    <w:sectPr w:rsidR="005A63A3" w:rsidRPr="005A63A3" w:rsidSect="00CA0B01">
      <w:headerReference w:type="default" r:id="rId10"/>
      <w:pgSz w:w="11906" w:h="16838"/>
      <w:pgMar w:top="851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5F" w:rsidRDefault="00AA655F" w:rsidP="005A63A3">
      <w:pPr>
        <w:spacing w:after="0" w:line="240" w:lineRule="auto"/>
      </w:pPr>
      <w:r>
        <w:separator/>
      </w:r>
    </w:p>
  </w:endnote>
  <w:endnote w:type="continuationSeparator" w:id="0">
    <w:p w:rsidR="00AA655F" w:rsidRDefault="00AA655F" w:rsidP="005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5F" w:rsidRDefault="00AA655F" w:rsidP="005A63A3">
      <w:pPr>
        <w:spacing w:after="0" w:line="240" w:lineRule="auto"/>
      </w:pPr>
      <w:r>
        <w:separator/>
      </w:r>
    </w:p>
  </w:footnote>
  <w:footnote w:type="continuationSeparator" w:id="0">
    <w:p w:rsidR="00AA655F" w:rsidRDefault="00AA655F" w:rsidP="005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A3" w:rsidRPr="005A63A3" w:rsidRDefault="005A63A3" w:rsidP="005A63A3">
    <w:pPr>
      <w:pStyle w:val="a7"/>
      <w:ind w:left="709"/>
      <w:rPr>
        <w:rFonts w:ascii="Times New Roman" w:eastAsia="Calibri" w:hAnsi="Times New Roman" w:cs="Times New Roman"/>
        <w:i/>
        <w:sz w:val="18"/>
        <w:szCs w:val="18"/>
        <w:lang w:val="x-none" w:eastAsia="x-none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F4E043" wp14:editId="4A4C387D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4" name="Рисунок 4" descr="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3A3">
      <w:rPr>
        <w:rFonts w:ascii="Times New Roman" w:eastAsia="Calibri" w:hAnsi="Times New Roman" w:cs="Times New Roman"/>
        <w:i/>
        <w:sz w:val="18"/>
        <w:szCs w:val="18"/>
        <w:lang w:val="x-none" w:eastAsia="x-none"/>
      </w:rPr>
      <w:t xml:space="preserve">Казахстанский фонд гарантирования депозитов </w:t>
    </w:r>
  </w:p>
  <w:p w:rsidR="005A63A3" w:rsidRPr="005A63A3" w:rsidRDefault="005A63A3" w:rsidP="005A63A3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eastAsia="Calibri" w:hAnsi="Times New Roman" w:cs="Times New Roman"/>
        <w:i/>
        <w:sz w:val="18"/>
        <w:szCs w:val="18"/>
        <w:lang w:val="x-none" w:eastAsia="x-none"/>
      </w:rPr>
    </w:pPr>
    <w:r w:rsidRPr="005A63A3">
      <w:rPr>
        <w:rFonts w:ascii="Times New Roman" w:eastAsia="Calibri" w:hAnsi="Times New Roman" w:cs="Times New Roman"/>
        <w:i/>
        <w:sz w:val="18"/>
        <w:szCs w:val="18"/>
        <w:lang w:val="x-none" w:eastAsia="x-none"/>
      </w:rPr>
      <w:t>Информационный обзор за</w:t>
    </w:r>
    <w:r w:rsidRPr="005A63A3">
      <w:rPr>
        <w:rFonts w:ascii="Times New Roman" w:eastAsia="Calibri" w:hAnsi="Times New Roman" w:cs="Times New Roman"/>
        <w:i/>
        <w:sz w:val="18"/>
        <w:szCs w:val="18"/>
        <w:lang w:eastAsia="x-none"/>
      </w:rPr>
      <w:t xml:space="preserve"> 2</w:t>
    </w:r>
    <w:r w:rsidRPr="005A63A3">
      <w:rPr>
        <w:rFonts w:ascii="Times New Roman" w:eastAsia="Calibri" w:hAnsi="Times New Roman" w:cs="Times New Roman"/>
        <w:i/>
        <w:sz w:val="18"/>
        <w:szCs w:val="18"/>
        <w:lang w:val="x-none" w:eastAsia="x-none"/>
      </w:rPr>
      <w:t xml:space="preserve"> квартал 201</w:t>
    </w:r>
    <w:r w:rsidRPr="005A63A3">
      <w:rPr>
        <w:rFonts w:ascii="Times New Roman" w:eastAsia="Calibri" w:hAnsi="Times New Roman" w:cs="Times New Roman"/>
        <w:i/>
        <w:sz w:val="18"/>
        <w:szCs w:val="18"/>
        <w:lang w:eastAsia="x-none"/>
      </w:rPr>
      <w:t>4</w:t>
    </w:r>
    <w:r w:rsidRPr="005A63A3">
      <w:rPr>
        <w:rFonts w:ascii="Times New Roman" w:eastAsia="Calibri" w:hAnsi="Times New Roman" w:cs="Times New Roman"/>
        <w:i/>
        <w:sz w:val="18"/>
        <w:szCs w:val="18"/>
        <w:lang w:val="x-none" w:eastAsia="x-none"/>
      </w:rPr>
      <w:t>г.</w:t>
    </w:r>
  </w:p>
  <w:p w:rsidR="005A63A3" w:rsidRDefault="005A63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A"/>
    <w:rsid w:val="003514F5"/>
    <w:rsid w:val="003B35CA"/>
    <w:rsid w:val="005A63A3"/>
    <w:rsid w:val="00A86BCC"/>
    <w:rsid w:val="00AA655F"/>
    <w:rsid w:val="00B66F4D"/>
    <w:rsid w:val="00CA0B01"/>
    <w:rsid w:val="00D505FE"/>
    <w:rsid w:val="00E2227A"/>
    <w:rsid w:val="00E4435C"/>
    <w:rsid w:val="00F811DD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3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63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3A3"/>
  </w:style>
  <w:style w:type="paragraph" w:styleId="a9">
    <w:name w:val="footer"/>
    <w:basedOn w:val="a"/>
    <w:link w:val="aa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3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63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3A3"/>
  </w:style>
  <w:style w:type="paragraph" w:styleId="a9">
    <w:name w:val="footer"/>
    <w:basedOn w:val="a"/>
    <w:link w:val="aa"/>
    <w:uiPriority w:val="99"/>
    <w:unhideWhenUsed/>
    <w:rsid w:val="005A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&#1075;&#1088;&#1072;&#1092;&#1080;&#1082;_&#1080;&#1079;&#1084;%20&#1076;&#1077;&#1087;%20%20&#1087;&#1086;%20&#1074;&#1072;&#1083;&#1102;&#1090;&#1072;&#1084;%202013-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2%20&#1082;&#1074;&#1072;&#1088;&#1090;&#1072;&#1083;%202014\&#1064;&#1099;&#1085;&#1072;&#1088;\&#1089;&#1074;&#1077;&#1076;&#1077;&#1085;&#1080;&#1103;%20&#1085;&#1072;%201%20&#1080;&#1102;&#1083;&#1103;%202014%20&#1075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2%20&#1082;&#1074;&#1072;&#1088;&#1090;&#1072;&#1083;%202014\&#1040;&#1083;&#1084;&#1072;&#1089;\2014-08-06%20&#1076;&#1080;&#1072;&#1075;&#1088;&#1072;&#1084;&#1084;&#1099;-&#1090;&#1072;&#1073;&#1083;&#1080;&#1094;&#1099;_01.01.2014.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185399673962847E-2"/>
          <c:y val="2.3974749991694071E-2"/>
          <c:w val="0.93087814384679901"/>
          <c:h val="0.8538803282501079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график!$B$18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7.8661258134167782E-3"/>
                  <c:y val="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65701653653238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665701653653238E-3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665701653653238E-3"/>
                  <c:y val="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8997104960959714E-3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8997104960959714E-3"/>
                  <c:y val="3.3755274261602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1.0126582278481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96657016536532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график!$C$18:$V$18</c:f>
              <c:numCache>
                <c:formatCode>0.00%</c:formatCode>
                <c:ptCount val="20"/>
                <c:pt idx="1">
                  <c:v>7.6562769620495713E-2</c:v>
                </c:pt>
                <c:pt idx="4">
                  <c:v>3.5850175827657593E-2</c:v>
                </c:pt>
                <c:pt idx="7">
                  <c:v>3.1534485223729654E-2</c:v>
                </c:pt>
                <c:pt idx="10">
                  <c:v>2.9254087903935279E-2</c:v>
                </c:pt>
                <c:pt idx="13">
                  <c:v>5.2235386761733775E-2</c:v>
                </c:pt>
                <c:pt idx="16">
                  <c:v>4.7163858052983315E-2</c:v>
                </c:pt>
                <c:pt idx="19">
                  <c:v>5.6416469683501315E-2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6"/>
        <c:axId val="145119488"/>
        <c:axId val="143253504"/>
      </c:barChart>
      <c:lineChart>
        <c:grouping val="standard"/>
        <c:varyColors val="0"/>
        <c:ser>
          <c:idx val="0"/>
          <c:order val="0"/>
          <c:tx>
            <c:strRef>
              <c:f>график!$B$16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16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</a:ln>
              </c:spPr>
            </c:marker>
            <c:bubble3D val="0"/>
          </c:dPt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график!$C$16:$V$16</c:f>
              <c:numCache>
                <c:formatCode>0.00%</c:formatCode>
                <c:ptCount val="20"/>
                <c:pt idx="1">
                  <c:v>7.7803407798402613E-2</c:v>
                </c:pt>
                <c:pt idx="2">
                  <c:v>1.0162619228633644E-2</c:v>
                </c:pt>
                <c:pt idx="3">
                  <c:v>1.4960797065644125E-2</c:v>
                </c:pt>
                <c:pt idx="4">
                  <c:v>1.7382561517712693E-2</c:v>
                </c:pt>
                <c:pt idx="5">
                  <c:v>-1.7957243977040115E-3</c:v>
                </c:pt>
                <c:pt idx="6">
                  <c:v>9.6945518185874158E-3</c:v>
                </c:pt>
                <c:pt idx="7">
                  <c:v>1.8274138236275182E-2</c:v>
                </c:pt>
                <c:pt idx="8">
                  <c:v>-5.3125648945674842E-2</c:v>
                </c:pt>
                <c:pt idx="9">
                  <c:v>-1.2792532011358363E-2</c:v>
                </c:pt>
                <c:pt idx="10">
                  <c:v>1.319615342710303E-2</c:v>
                </c:pt>
                <c:pt idx="11">
                  <c:v>-8.8696396530721817E-3</c:v>
                </c:pt>
                <c:pt idx="12">
                  <c:v>1.034549328934703E-2</c:v>
                </c:pt>
                <c:pt idx="13">
                  <c:v>4.9374240011861074E-2</c:v>
                </c:pt>
                <c:pt idx="14">
                  <c:v>-1.7919793848627238E-2</c:v>
                </c:pt>
                <c:pt idx="15">
                  <c:v>-9.5275139589470509E-2</c:v>
                </c:pt>
                <c:pt idx="16">
                  <c:v>-3.9916994663110689E-2</c:v>
                </c:pt>
                <c:pt idx="17">
                  <c:v>3.7331012619082823E-2</c:v>
                </c:pt>
                <c:pt idx="18">
                  <c:v>3.374781204217623E-2</c:v>
                </c:pt>
                <c:pt idx="19">
                  <c:v>3.4342102166950803E-3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график!$B$17</c:f>
              <c:strCache>
                <c:ptCount val="1"/>
                <c:pt idx="0">
                  <c:v>в иностранной валюте</c:v>
                </c:pt>
              </c:strCache>
            </c:strRef>
          </c:tx>
          <c:spPr>
            <a:ln w="1905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4"/>
            <c:spPr>
              <a:solidFill>
                <a:srgbClr val="290EC8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график!$C$15:$V$15</c:f>
              <c:numCache>
                <c:formatCode>m/d/yyyy</c:formatCode>
                <c:ptCount val="20"/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  <c:pt idx="13">
                  <c:v>41640</c:v>
                </c:pt>
                <c:pt idx="14">
                  <c:v>41671</c:v>
                </c:pt>
                <c:pt idx="15">
                  <c:v>41699</c:v>
                </c:pt>
                <c:pt idx="16">
                  <c:v>41730</c:v>
                </c:pt>
                <c:pt idx="17">
                  <c:v>41760</c:v>
                </c:pt>
                <c:pt idx="18">
                  <c:v>41791</c:v>
                </c:pt>
                <c:pt idx="19">
                  <c:v>41821</c:v>
                </c:pt>
              </c:numCache>
            </c:numRef>
          </c:cat>
          <c:val>
            <c:numRef>
              <c:f>график!$C$17:$V$17</c:f>
              <c:numCache>
                <c:formatCode>0.00%</c:formatCode>
                <c:ptCount val="20"/>
                <c:pt idx="1">
                  <c:v>1.106818304881433E-2</c:v>
                </c:pt>
                <c:pt idx="2">
                  <c:v>5.9595197754019223E-3</c:v>
                </c:pt>
                <c:pt idx="3">
                  <c:v>2.8161029079799983E-2</c:v>
                </c:pt>
                <c:pt idx="4">
                  <c:v>-9.3518532045783111E-3</c:v>
                </c:pt>
                <c:pt idx="5">
                  <c:v>1.2658636164851399E-2</c:v>
                </c:pt>
                <c:pt idx="6">
                  <c:v>1.712683356097779E-2</c:v>
                </c:pt>
                <c:pt idx="7">
                  <c:v>9.5082544392461246E-3</c:v>
                </c:pt>
                <c:pt idx="8">
                  <c:v>0.12388959376151391</c:v>
                </c:pt>
                <c:pt idx="9">
                  <c:v>2.1296505421924929E-2</c:v>
                </c:pt>
                <c:pt idx="10">
                  <c:v>8.1903169268060776E-3</c:v>
                </c:pt>
                <c:pt idx="11">
                  <c:v>2.8794492427839158E-2</c:v>
                </c:pt>
                <c:pt idx="12">
                  <c:v>9.4018782461534785E-3</c:v>
                </c:pt>
                <c:pt idx="13">
                  <c:v>1.4987597784965336E-2</c:v>
                </c:pt>
                <c:pt idx="14">
                  <c:v>3.4744793436247784E-2</c:v>
                </c:pt>
                <c:pt idx="15">
                  <c:v>0.18003785441921258</c:v>
                </c:pt>
                <c:pt idx="16">
                  <c:v>5.9650720775481961E-2</c:v>
                </c:pt>
                <c:pt idx="17">
                  <c:v>1.3176872551203631E-2</c:v>
                </c:pt>
                <c:pt idx="18">
                  <c:v>-8.8550910022396588E-3</c:v>
                </c:pt>
                <c:pt idx="19">
                  <c:v>3.5634313848318236E-2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19488"/>
        <c:axId val="143253504"/>
      </c:lineChart>
      <c:dateAx>
        <c:axId val="14511948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m/d/yyyy" sourceLinked="1"/>
        <c:majorTickMark val="out"/>
        <c:minorTickMark val="none"/>
        <c:tickLblPos val="nextTo"/>
        <c:crossAx val="143253504"/>
        <c:crosses val="autoZero"/>
        <c:auto val="1"/>
        <c:lblOffset val="100"/>
        <c:baseTimeUnit val="months"/>
      </c:dateAx>
      <c:valAx>
        <c:axId val="143253504"/>
        <c:scaling>
          <c:orientation val="minMax"/>
          <c:max val="0.2"/>
          <c:min val="-0.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4511948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595925886009541"/>
          <c:y val="0.89170324595501516"/>
          <c:w val="0.74571163825514741"/>
          <c:h val="9.14191169141831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097769028871391E-2"/>
          <c:y val="0"/>
          <c:w val="0.55130540376442017"/>
          <c:h val="0.92276422764227639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10"/>
          </c:dPt>
          <c:dPt>
            <c:idx val="1"/>
            <c:bubble3D val="0"/>
            <c:explosion val="13"/>
          </c:dPt>
          <c:dPt>
            <c:idx val="2"/>
            <c:bubble3D val="0"/>
            <c:explosion val="12"/>
          </c:dPt>
          <c:dPt>
            <c:idx val="3"/>
            <c:bubble3D val="0"/>
            <c:explosion val="6"/>
          </c:dPt>
          <c:dPt>
            <c:idx val="4"/>
            <c:bubble3D val="0"/>
            <c:explosion val="9"/>
          </c:dPt>
          <c:dLbls>
            <c:dLbl>
              <c:idx val="0"/>
              <c:layout>
                <c:manualLayout>
                  <c:x val="-1.9203958880139982E-2"/>
                  <c:y val="-4.3576844561096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110301837270341"/>
                  <c:y val="-0.15122594050743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 u="none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4,1 кв'!$B$60:$B$64</c:f>
              <c:strCache>
                <c:ptCount val="5"/>
                <c:pt idx="0">
                  <c:v>Срочные и условные вклады до Т5 млн.</c:v>
                </c:pt>
                <c:pt idx="1">
                  <c:v>Срочные и условные вклады от Т5 млн. до Т15 млн. </c:v>
                </c:pt>
                <c:pt idx="2">
                  <c:v>Срочные и условные вклады свыше Т15 млн. </c:v>
                </c:pt>
                <c:pt idx="3">
                  <c:v>До востребования</c:v>
                </c:pt>
                <c:pt idx="4">
                  <c:v>Текущие и карт-счета</c:v>
                </c:pt>
              </c:strCache>
            </c:strRef>
          </c:cat>
          <c:val>
            <c:numRef>
              <c:f>'свод 4,1 кв'!$D$60:$D$64</c:f>
              <c:numCache>
                <c:formatCode>0.0%</c:formatCode>
                <c:ptCount val="5"/>
                <c:pt idx="0">
                  <c:v>0.29503678801032607</c:v>
                </c:pt>
                <c:pt idx="1">
                  <c:v>0.12133571326840344</c:v>
                </c:pt>
                <c:pt idx="2">
                  <c:v>0.4675266820779464</c:v>
                </c:pt>
                <c:pt idx="3">
                  <c:v>9.9601206436983752E-3</c:v>
                </c:pt>
                <c:pt idx="4">
                  <c:v>0.10614069599962589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4919575678040242"/>
          <c:y val="0.15231515267908585"/>
          <c:w val="0.33413757655293086"/>
          <c:h val="0.7021445490045451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'классиф группы'!$A$2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5.07936406361923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группы'!$J$2:$O$2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'классиф группы'!$A$3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группы'!$J$3:$O$3</c:f>
              <c:numCache>
                <c:formatCode>General</c:formatCode>
                <c:ptCount val="6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'классиф группы'!$A$4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группы'!$J$4:$O$4</c:f>
              <c:numCache>
                <c:formatCode>General</c:formatCode>
                <c:ptCount val="6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</c:ser>
        <c:ser>
          <c:idx val="3"/>
          <c:order val="3"/>
          <c:tx>
            <c:strRef>
              <c:f>'классиф группы'!$A$5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A66BD3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группы'!$J$5:$O$5</c:f>
              <c:numCache>
                <c:formatCode>General</c:formatCode>
                <c:ptCount val="6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</c:ser>
        <c:ser>
          <c:idx val="4"/>
          <c:order val="4"/>
          <c:tx>
            <c:strRef>
              <c:f>'классиф группы'!$A$6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6F76F9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группы'!$J$6:$O$6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5"/>
          <c:order val="5"/>
          <c:tx>
            <c:strRef>
              <c:f>'классиф группы'!$A$7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7764989808392081"/>
                  <c:y val="-1.291465016134149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5"/>
              <c:delete val="1"/>
            </c:dLbl>
            <c:dLbl>
              <c:idx val="9"/>
              <c:layout>
                <c:manualLayout>
                  <c:x val="2.5394820568464828E-3"/>
                  <c:y val="4.140786749482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'классиф группы'!$J$1:$O$1</c:f>
              <c:strCache>
                <c:ptCount val="6"/>
                <c:pt idx="0">
                  <c:v>I кв. 13</c:v>
                </c:pt>
                <c:pt idx="1">
                  <c:v>II кв. 13</c:v>
                </c:pt>
                <c:pt idx="2">
                  <c:v>III кв. 13</c:v>
                </c:pt>
                <c:pt idx="3">
                  <c:v>IV кв. 13</c:v>
                </c:pt>
                <c:pt idx="4">
                  <c:v>I кв. 14</c:v>
                </c:pt>
                <c:pt idx="5">
                  <c:v>II кв. 14</c:v>
                </c:pt>
              </c:strCache>
            </c:strRef>
          </c:cat>
          <c:val>
            <c:numRef>
              <c:f>'классиф группы'!$J$7:$O$7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5113088"/>
        <c:axId val="145114624"/>
      </c:barChart>
      <c:catAx>
        <c:axId val="14511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114624"/>
        <c:crosses val="autoZero"/>
        <c:auto val="1"/>
        <c:lblAlgn val="ctr"/>
        <c:lblOffset val="100"/>
        <c:noMultiLvlLbl val="0"/>
      </c:catAx>
      <c:valAx>
        <c:axId val="145114624"/>
        <c:scaling>
          <c:orientation val="minMax"/>
          <c:max val="38"/>
        </c:scaling>
        <c:delete val="0"/>
        <c:axPos val="l"/>
        <c:majorGridlines>
          <c:spPr>
            <a:ln w="6350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5113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Shynar</cp:lastModifiedBy>
  <cp:revision>7</cp:revision>
  <dcterms:created xsi:type="dcterms:W3CDTF">2015-01-16T04:24:00Z</dcterms:created>
  <dcterms:modified xsi:type="dcterms:W3CDTF">2015-01-19T04:12:00Z</dcterms:modified>
</cp:coreProperties>
</file>