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A8" w:rsidRDefault="001F346F" w:rsidP="00FB1EA8">
      <w:pPr>
        <w:tabs>
          <w:tab w:val="left" w:pos="851"/>
        </w:tabs>
        <w:spacing w:after="0" w:line="240" w:lineRule="auto"/>
        <w:ind w:left="3544" w:firstLine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FB1EA8" w:rsidRDefault="00623B1B" w:rsidP="00FB1EA8">
      <w:pPr>
        <w:tabs>
          <w:tab w:val="left" w:pos="851"/>
        </w:tabs>
        <w:spacing w:after="0" w:line="240" w:lineRule="auto"/>
        <w:ind w:left="3544"/>
        <w:jc w:val="right"/>
        <w:rPr>
          <w:rFonts w:ascii="Times New Roman" w:hAnsi="Times New Roman"/>
          <w:sz w:val="24"/>
          <w:szCs w:val="24"/>
        </w:rPr>
      </w:pPr>
      <w:r w:rsidRPr="00934FD6">
        <w:rPr>
          <w:rFonts w:ascii="Times New Roman" w:hAnsi="Times New Roman"/>
          <w:sz w:val="24"/>
          <w:szCs w:val="24"/>
        </w:rPr>
        <w:t xml:space="preserve">к </w:t>
      </w:r>
      <w:r w:rsidR="00653EAA">
        <w:rPr>
          <w:rFonts w:ascii="Times New Roman" w:hAnsi="Times New Roman"/>
          <w:sz w:val="24"/>
          <w:szCs w:val="24"/>
        </w:rPr>
        <w:t xml:space="preserve">Правилам определения </w:t>
      </w:r>
      <w:r w:rsidR="00653EAA" w:rsidRPr="00653EAA">
        <w:rPr>
          <w:rFonts w:ascii="Times New Roman" w:hAnsi="Times New Roman"/>
          <w:sz w:val="24"/>
          <w:szCs w:val="24"/>
        </w:rPr>
        <w:t>размера и порядка уплаты обязательных календарных, дополнительных и чрезвычайных взносов</w:t>
      </w:r>
      <w:r w:rsidR="004E6E8F">
        <w:rPr>
          <w:rFonts w:ascii="Times New Roman" w:hAnsi="Times New Roman"/>
          <w:sz w:val="24"/>
          <w:szCs w:val="24"/>
        </w:rPr>
        <w:t>,</w:t>
      </w:r>
      <w:r w:rsidR="00FB1EA8" w:rsidRPr="00FB1EA8">
        <w:t xml:space="preserve"> </w:t>
      </w:r>
      <w:r w:rsidR="00FB1EA8">
        <w:rPr>
          <w:rFonts w:ascii="Times New Roman" w:hAnsi="Times New Roman"/>
          <w:sz w:val="24"/>
          <w:szCs w:val="24"/>
        </w:rPr>
        <w:t>утвержденным решением</w:t>
      </w:r>
    </w:p>
    <w:p w:rsidR="00FB1EA8" w:rsidRPr="00FB1EA8" w:rsidRDefault="00FB1EA8" w:rsidP="00FB1EA8">
      <w:pPr>
        <w:tabs>
          <w:tab w:val="left" w:pos="851"/>
        </w:tabs>
        <w:spacing w:after="0" w:line="240" w:lineRule="auto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директоров АО «КФГД» от 30 октября </w:t>
      </w:r>
      <w:r w:rsidRPr="00FB1EA8">
        <w:rPr>
          <w:rFonts w:ascii="Times New Roman" w:hAnsi="Times New Roman"/>
          <w:sz w:val="24"/>
          <w:szCs w:val="24"/>
        </w:rPr>
        <w:t>2006 г.</w:t>
      </w:r>
    </w:p>
    <w:p w:rsidR="00623B1B" w:rsidRPr="00934FD6" w:rsidRDefault="00FB1EA8" w:rsidP="00FB1EA8">
      <w:pPr>
        <w:tabs>
          <w:tab w:val="left" w:pos="851"/>
        </w:tabs>
        <w:spacing w:after="0" w:line="240" w:lineRule="auto"/>
        <w:ind w:left="3544" w:firstLine="1701"/>
        <w:jc w:val="right"/>
        <w:rPr>
          <w:rFonts w:ascii="Times New Roman" w:hAnsi="Times New Roman"/>
          <w:sz w:val="24"/>
          <w:szCs w:val="24"/>
        </w:rPr>
      </w:pPr>
      <w:r w:rsidRPr="00FB1EA8">
        <w:rPr>
          <w:rFonts w:ascii="Times New Roman" w:hAnsi="Times New Roman"/>
          <w:sz w:val="24"/>
          <w:szCs w:val="24"/>
        </w:rPr>
        <w:t>(протокол №</w:t>
      </w:r>
      <w:r w:rsidR="004E6E8F">
        <w:rPr>
          <w:rFonts w:ascii="Times New Roman" w:hAnsi="Times New Roman"/>
          <w:sz w:val="24"/>
          <w:szCs w:val="24"/>
        </w:rPr>
        <w:t xml:space="preserve"> </w:t>
      </w:r>
      <w:r w:rsidRPr="00FB1EA8">
        <w:rPr>
          <w:rFonts w:ascii="Times New Roman" w:hAnsi="Times New Roman"/>
          <w:sz w:val="24"/>
          <w:szCs w:val="24"/>
        </w:rPr>
        <w:t>32)</w:t>
      </w:r>
    </w:p>
    <w:p w:rsidR="00CE0936" w:rsidRPr="00934FD6" w:rsidRDefault="00CE0936" w:rsidP="00623B1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EA8" w:rsidRPr="00FB1EA8" w:rsidRDefault="00FB1EA8" w:rsidP="00FB1EA8">
      <w:pPr>
        <w:spacing w:after="0" w:line="240" w:lineRule="auto"/>
        <w:rPr>
          <w:rFonts w:ascii="Times New Roman" w:hAnsi="Times New Roman"/>
        </w:rPr>
      </w:pPr>
    </w:p>
    <w:p w:rsidR="00FB1EA8" w:rsidRPr="00FB1EA8" w:rsidRDefault="00FB1EA8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FB1EA8">
        <w:rPr>
          <w:rFonts w:ascii="Times New Roman" w:hAnsi="Times New Roman"/>
          <w:b/>
          <w:sz w:val="18"/>
          <w:szCs w:val="18"/>
        </w:rPr>
        <w:t>Перечень пороговых значений для качественных индикаторов</w:t>
      </w:r>
    </w:p>
    <w:p w:rsidR="00FB1EA8" w:rsidRDefault="00FB1EA8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BD7DF7" w:rsidRPr="00BD7DF7" w:rsidRDefault="00BD7DF7" w:rsidP="00BD7DF7">
      <w:pPr>
        <w:spacing w:after="0" w:line="240" w:lineRule="auto"/>
        <w:ind w:left="-851" w:firstLine="708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BD7DF7">
        <w:rPr>
          <w:rFonts w:ascii="Times New Roman" w:hAnsi="Times New Roman"/>
          <w:i/>
          <w:color w:val="FF0000"/>
          <w:sz w:val="18"/>
          <w:szCs w:val="18"/>
        </w:rPr>
        <w:t>Настоящий перечень изложен в редакции в соответствии с решением Совета директоров АО «Казахстанский фонд гарантирования депозитов» (Фонд) от 28.06.2016г. (протокол №4), введен в действие с 01.06.2016г.; в перечень внесены изменения в соответствии с решением Совета директоров Фонда от 05.10.2016г. (прото</w:t>
      </w:r>
      <w:bookmarkStart w:id="0" w:name="_GoBack"/>
      <w:bookmarkEnd w:id="0"/>
      <w:r w:rsidRPr="00BD7DF7">
        <w:rPr>
          <w:rFonts w:ascii="Times New Roman" w:hAnsi="Times New Roman"/>
          <w:i/>
          <w:color w:val="FF0000"/>
          <w:sz w:val="18"/>
          <w:szCs w:val="18"/>
        </w:rPr>
        <w:t>кол №6), вводятся в действие с 01.01.2017 г., в перечень внесены изменения в соответствии с решением Совета директоров</w:t>
      </w:r>
      <w:proofErr w:type="gramEnd"/>
      <w:r w:rsidRPr="00BD7DF7">
        <w:rPr>
          <w:rFonts w:ascii="Times New Roman" w:hAnsi="Times New Roman"/>
          <w:i/>
          <w:color w:val="FF0000"/>
          <w:sz w:val="18"/>
          <w:szCs w:val="18"/>
        </w:rPr>
        <w:t xml:space="preserve"> Фонда от 10.12.2018г. (протокол №23), вводятся в действие с 10.12.2018 г.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 xml:space="preserve">; </w:t>
      </w:r>
      <w:r w:rsidR="008623EE">
        <w:rPr>
          <w:rFonts w:ascii="Times New Roman" w:hAnsi="Times New Roman"/>
          <w:i/>
          <w:color w:val="FF0000"/>
          <w:sz w:val="18"/>
          <w:szCs w:val="18"/>
        </w:rPr>
        <w:t xml:space="preserve">приложение 6 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>изложен</w:t>
      </w:r>
      <w:r w:rsidR="008623EE">
        <w:rPr>
          <w:rFonts w:ascii="Times New Roman" w:hAnsi="Times New Roman"/>
          <w:i/>
          <w:color w:val="FF0000"/>
          <w:sz w:val="18"/>
          <w:szCs w:val="18"/>
        </w:rPr>
        <w:t>о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 xml:space="preserve"> в редакции решени</w:t>
      </w:r>
      <w:r w:rsidR="008623EE">
        <w:rPr>
          <w:rFonts w:ascii="Times New Roman" w:hAnsi="Times New Roman"/>
          <w:i/>
          <w:color w:val="FF0000"/>
          <w:sz w:val="18"/>
          <w:szCs w:val="18"/>
        </w:rPr>
        <w:t>я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 xml:space="preserve"> Совета директоров Фонда от 20.06.2019г.</w:t>
      </w:r>
      <w:r w:rsidR="008623EE">
        <w:rPr>
          <w:rFonts w:ascii="Times New Roman" w:hAnsi="Times New Roman"/>
          <w:i/>
          <w:color w:val="FF0000"/>
          <w:sz w:val="18"/>
          <w:szCs w:val="18"/>
        </w:rPr>
        <w:t>,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 xml:space="preserve"> протокол №</w:t>
      </w:r>
      <w:r w:rsidR="008623EE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BD7DF7">
        <w:rPr>
          <w:rFonts w:ascii="Times New Roman" w:hAnsi="Times New Roman"/>
          <w:i/>
          <w:color w:val="FF0000"/>
          <w:sz w:val="18"/>
          <w:szCs w:val="18"/>
        </w:rPr>
        <w:t>15.</w:t>
      </w:r>
    </w:p>
    <w:p w:rsidR="00BD7DF7" w:rsidRDefault="00BD7DF7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BD7DF7" w:rsidRPr="00FB1EA8" w:rsidRDefault="00BD7DF7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FB1EA8" w:rsidRPr="00FB1EA8" w:rsidRDefault="00FB1EA8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6"/>
        <w:gridCol w:w="472"/>
        <w:gridCol w:w="6833"/>
        <w:gridCol w:w="1672"/>
      </w:tblGrid>
      <w:tr w:rsidR="00AE7E1C" w:rsidRPr="00FB1EA8" w:rsidTr="001138B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Индикатор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Значение индикатора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A8" w:rsidRPr="00FB1EA8" w:rsidRDefault="00FB1EA8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Баллы</w:t>
            </w:r>
          </w:p>
        </w:tc>
      </w:tr>
      <w:tr w:rsidR="00AE7E1C" w:rsidRPr="00FB1EA8" w:rsidTr="001138B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B1EA8" w:rsidRDefault="00A62546" w:rsidP="0045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B1EA8" w:rsidRDefault="00A62546" w:rsidP="002E6C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5D">
              <w:rPr>
                <w:rFonts w:ascii="Times New Roman" w:hAnsi="Times New Roman"/>
                <w:sz w:val="20"/>
                <w:szCs w:val="20"/>
                <w:lang w:val="kk-KZ"/>
              </w:rPr>
              <w:t>Отсутствие нарушений минимальных резервных требований и пруденциальных нормативов группы 1</w:t>
            </w:r>
            <w:r w:rsidR="00F91A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2 </w:t>
            </w:r>
            <w:r w:rsidRPr="005D19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91A51">
              <w:rPr>
                <w:rFonts w:ascii="Times New Roman" w:hAnsi="Times New Roman"/>
                <w:sz w:val="20"/>
                <w:szCs w:val="20"/>
                <w:lang w:val="kk-KZ"/>
              </w:rPr>
              <w:t>или</w:t>
            </w:r>
            <w:r w:rsidRPr="005D19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наличие одного нарушения пруденциальных нормативов группы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91A51" w:rsidRDefault="00A62546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A5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</w:tr>
      <w:tr w:rsidR="00AE7E1C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B1EA8" w:rsidRDefault="00A62546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B1EA8" w:rsidRDefault="00F91A51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A62546" w:rsidRPr="005D195D">
              <w:rPr>
                <w:rFonts w:ascii="Times New Roman" w:hAnsi="Times New Roman"/>
                <w:sz w:val="20"/>
                <w:szCs w:val="20"/>
                <w:lang w:val="kk-KZ"/>
              </w:rPr>
              <w:t>аличие двух  нарушений пруденциальных нормативов группы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E908BB" w:rsidRDefault="00A62546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1A5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5836B3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B3" w:rsidRPr="00FB1EA8" w:rsidRDefault="005836B3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3" w:rsidRDefault="00175D25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Наличие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одной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примененной к банку меры по улучшению финансового состояния и (или) минимизации рисков за нарушение пруденциальных нормативов и (или) иных обязательных к соблюдению норм и </w:t>
            </w:r>
            <w:r w:rsidR="003F0F53">
              <w:rPr>
                <w:rFonts w:ascii="Times New Roman" w:hAnsi="Times New Roman"/>
                <w:sz w:val="20"/>
                <w:szCs w:val="20"/>
                <w:lang w:val="kk-KZ"/>
              </w:rPr>
              <w:t>лимитов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B3" w:rsidRPr="00F91A51" w:rsidRDefault="00175D25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AE7E1C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FB1EA8" w:rsidRDefault="00A62546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2C4621" w:rsidRDefault="00A62546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C4621">
              <w:rPr>
                <w:rFonts w:ascii="Times New Roman" w:hAnsi="Times New Roman"/>
                <w:sz w:val="20"/>
                <w:szCs w:val="20"/>
              </w:rPr>
              <w:t>Наличие нарушений мин</w:t>
            </w:r>
            <w:r w:rsidR="00B15881" w:rsidRPr="002C4621">
              <w:rPr>
                <w:rFonts w:ascii="Times New Roman" w:hAnsi="Times New Roman"/>
                <w:sz w:val="20"/>
                <w:szCs w:val="20"/>
              </w:rPr>
              <w:t>имальных резервных требований и (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или</w:t>
            </w:r>
            <w:r w:rsidR="00B15881" w:rsidRPr="002C4621">
              <w:rPr>
                <w:rFonts w:ascii="Times New Roman" w:hAnsi="Times New Roman"/>
                <w:sz w:val="20"/>
                <w:szCs w:val="20"/>
              </w:rPr>
              <w:t>)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 пруде</w:t>
            </w:r>
            <w:r w:rsidR="00B15881" w:rsidRPr="002C4621">
              <w:rPr>
                <w:rFonts w:ascii="Times New Roman" w:hAnsi="Times New Roman"/>
                <w:sz w:val="20"/>
                <w:szCs w:val="20"/>
              </w:rPr>
              <w:t>нциальных нормативов группы 1 и</w:t>
            </w:r>
            <w:r w:rsidR="00F91A51" w:rsidRPr="002C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881" w:rsidRPr="002C4621">
              <w:rPr>
                <w:rFonts w:ascii="Times New Roman" w:hAnsi="Times New Roman"/>
                <w:sz w:val="20"/>
                <w:szCs w:val="20"/>
              </w:rPr>
              <w:t>(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или</w:t>
            </w:r>
            <w:r w:rsidR="00B15881" w:rsidRPr="002C4621">
              <w:rPr>
                <w:rFonts w:ascii="Times New Roman" w:hAnsi="Times New Roman"/>
                <w:sz w:val="20"/>
                <w:szCs w:val="20"/>
              </w:rPr>
              <w:t>)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 наличие более двух нарушений пруденциальных нормативов группы 2</w:t>
            </w:r>
            <w:r w:rsidR="003F0F53">
              <w:rPr>
                <w:rFonts w:ascii="Times New Roman" w:hAnsi="Times New Roman"/>
                <w:sz w:val="20"/>
                <w:szCs w:val="20"/>
              </w:rPr>
              <w:t xml:space="preserve"> и (или) </w:t>
            </w:r>
            <w:r w:rsidR="003F0F53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3F0F53"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аличие </w:t>
            </w:r>
            <w:r w:rsidR="003F0F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более одной </w:t>
            </w:r>
            <w:r w:rsidR="003F0F53"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примененной к банку меры по улучшению финансового состояния и (или) минимизации рисков за нарушение пруденциальных нормативов и (или) иных обязательных к соблюдению норм и лимитов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6" w:rsidRPr="002C4621" w:rsidRDefault="00A62546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FF6719" w:rsidRPr="00FB1EA8" w:rsidTr="00743574">
        <w:trPr>
          <w:trHeight w:val="5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19" w:rsidRPr="00FB1EA8" w:rsidRDefault="00FF6719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719" w:rsidRPr="002C4621" w:rsidRDefault="00FF6719" w:rsidP="00D617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Наличие принудительной меры надзорного реагирования</w:t>
            </w:r>
            <w:r w:rsidR="006574BF"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за нарушение пруденциальных нормативов и (или) иных обязательных к соблюдению норм и лимитов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7D1" w:rsidRPr="002C4621" w:rsidRDefault="00D617D1" w:rsidP="00FF6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3F0F5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FF6719" w:rsidRPr="00FB1EA8" w:rsidTr="001138B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Pr="00FB1EA8" w:rsidRDefault="00FF6719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Pr="002C4621" w:rsidRDefault="00FF6719" w:rsidP="00F47A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62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Группа 1: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Норматив(ы) 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по минимальному размеру уставного и собственного капитала, коэффициенты достаточности собственного капитала (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1-2,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2),  максимальный размер риска на одного заемщика (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3’), коэффициенты ликвидности (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4-1,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4-2,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4-3,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4-4,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 xml:space="preserve">4-5, 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4-6), коэффициенты покрытия ликвидности и нетто стабильного фондирования (К(</w:t>
            </w:r>
            <w:proofErr w:type="spellStart"/>
            <w:r w:rsidRPr="002C4621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2C4621">
              <w:rPr>
                <w:rFonts w:ascii="Times New Roman" w:hAnsi="Times New Roman"/>
                <w:sz w:val="20"/>
                <w:szCs w:val="20"/>
              </w:rPr>
              <w:t>), К(</w:t>
            </w:r>
            <w:proofErr w:type="spellStart"/>
            <w:r w:rsidRPr="002C4621">
              <w:rPr>
                <w:rFonts w:ascii="Times New Roman" w:hAnsi="Times New Roman"/>
                <w:sz w:val="20"/>
                <w:szCs w:val="20"/>
              </w:rPr>
              <w:t>сф</w:t>
            </w:r>
            <w:proofErr w:type="spellEnd"/>
            <w:r w:rsidRPr="002C4621">
              <w:rPr>
                <w:rFonts w:ascii="Times New Roman" w:hAnsi="Times New Roman"/>
                <w:sz w:val="20"/>
                <w:szCs w:val="20"/>
              </w:rPr>
              <w:t>)), лимиты открытой валютной позиции.</w:t>
            </w:r>
          </w:p>
          <w:p w:rsidR="00FF6719" w:rsidRPr="002C4621" w:rsidRDefault="00FF6719" w:rsidP="00FE5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62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Группа 2: 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Коэффициент капитализации банков к обязательствам перед нерезидентами Республики Казахстан (</w:t>
            </w:r>
            <w:r w:rsidRPr="002C46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C4621">
              <w:rPr>
                <w:rFonts w:ascii="Times New Roman" w:hAnsi="Times New Roman"/>
                <w:sz w:val="20"/>
                <w:szCs w:val="20"/>
              </w:rPr>
              <w:t>7), коэффициент по размещению части средств банка во внутренние активы.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Pr="002C4621" w:rsidRDefault="00FF671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FF6719" w:rsidRPr="00FB1EA8" w:rsidTr="001138B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FB1EA8" w:rsidRDefault="00FF6719" w:rsidP="0045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2C4621" w:rsidRDefault="00FF6719" w:rsidP="00497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Отсутствие или наличие одно</w:t>
            </w:r>
            <w:r w:rsidR="004978C2">
              <w:rPr>
                <w:rFonts w:ascii="Times New Roman" w:hAnsi="Times New Roman"/>
                <w:sz w:val="20"/>
                <w:szCs w:val="20"/>
                <w:lang w:val="kk-KZ"/>
              </w:rPr>
              <w:t>го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4462"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административного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штрафа</w:t>
            </w:r>
            <w:r w:rsidR="00984BD6" w:rsidRPr="002C4621">
              <w:rPr>
                <w:rStyle w:val="ae"/>
                <w:rFonts w:ascii="Times New Roman" w:hAnsi="Times New Roman"/>
                <w:sz w:val="20"/>
                <w:szCs w:val="20"/>
                <w:lang w:val="kk-KZ"/>
              </w:rPr>
              <w:footnoteReference w:id="1"/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2C4621" w:rsidRDefault="00FF6719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FF6719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FB1EA8" w:rsidRDefault="00FF6719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2C4621" w:rsidRDefault="00FF6719" w:rsidP="007B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Наличие </w:t>
            </w:r>
            <w:r w:rsidR="00276B69"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более одно</w:t>
            </w:r>
            <w:r w:rsidR="007B05FF">
              <w:rPr>
                <w:rFonts w:ascii="Times New Roman" w:hAnsi="Times New Roman"/>
                <w:sz w:val="20"/>
                <w:szCs w:val="20"/>
                <w:lang w:val="kk-KZ"/>
              </w:rPr>
              <w:t>го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74462"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административного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штрафа</w:t>
            </w:r>
            <w:r w:rsidR="00413A17" w:rsidRPr="00F602D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276B69" w:rsidRPr="002C462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2C4621" w:rsidRDefault="00276B69" w:rsidP="0027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6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3905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5" w:rsidRPr="00FB1EA8" w:rsidRDefault="00003905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5" w:rsidRPr="002C4621" w:rsidRDefault="00003905" w:rsidP="007B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Наличие одной меры по улучшению финансового состояния и (или) минимизации рисков и (или) административного штрафа, наложенного по статье 227</w:t>
            </w:r>
            <w:r w:rsidRPr="002C4621">
              <w:t xml:space="preserve"> </w:t>
            </w:r>
            <w:r w:rsidRPr="002C4621">
              <w:rPr>
                <w:rFonts w:ascii="Times New Roman" w:hAnsi="Times New Roman"/>
                <w:sz w:val="20"/>
                <w:szCs w:val="20"/>
                <w:lang w:val="kk-KZ"/>
              </w:rPr>
              <w:t>Кодекса Республики Казахстан об административных правонарушениях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05" w:rsidRPr="002C4621" w:rsidRDefault="00003905" w:rsidP="0027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F6719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Pr="00FB1EA8" w:rsidRDefault="00FF6719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Default="00FF6719" w:rsidP="000039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Наличие более </w:t>
            </w:r>
            <w:r w:rsidR="00276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одной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меры</w:t>
            </w:r>
            <w:r w:rsidRPr="002027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улучшению финансового состояния и (или) минимизации рисков</w:t>
            </w:r>
            <w:r w:rsidR="0000390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(или) наличие с</w:t>
            </w:r>
            <w:r w:rsidR="00003905" w:rsidRPr="00FB1EA8">
              <w:rPr>
                <w:rFonts w:ascii="Times New Roman" w:hAnsi="Times New Roman"/>
                <w:sz w:val="20"/>
                <w:szCs w:val="20"/>
                <w:lang w:val="kk-KZ"/>
              </w:rPr>
              <w:t>анкци</w:t>
            </w:r>
            <w:r w:rsidR="00003905">
              <w:rPr>
                <w:rFonts w:ascii="Times New Roman" w:hAnsi="Times New Roman"/>
                <w:sz w:val="20"/>
                <w:szCs w:val="20"/>
                <w:lang w:val="kk-KZ"/>
              </w:rPr>
              <w:t>и, за исключением санкции в виде приостановления лицензии на прием депозитов, открытие и ведение банковских счетов физических лиц или на проведение всех банковских операций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19" w:rsidRPr="00FF6719" w:rsidRDefault="00003905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719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FB1EA8" w:rsidRDefault="00FF6719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19" w:rsidRPr="00FB1EA8" w:rsidRDefault="00FF6719" w:rsidP="00902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Наличие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принудительной меры надзорного реагирования</w:t>
            </w:r>
            <w:r w:rsidR="00276B6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D8" w:rsidRPr="00FB1EA8" w:rsidRDefault="009029D8" w:rsidP="00F86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00390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DF5139" w:rsidRPr="00FB1EA8" w:rsidTr="001138B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DF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footnoteReference w:id="2"/>
            </w:r>
          </w:p>
          <w:p w:rsidR="00DF5139" w:rsidRPr="00FB1EA8" w:rsidRDefault="00DF5139" w:rsidP="00DF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139" w:rsidRPr="00FB1EA8" w:rsidRDefault="00DF5139" w:rsidP="00DF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39" w:rsidRPr="00FB1EA8" w:rsidRDefault="00DF5139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Долгосрочный кредитный рейтинг Standard &amp; Poor’s/ Fitch/Moody´s в иностранной 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валюте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139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39" w:rsidRPr="00984BD6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AF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BBB-/ BBB-/ Baa3 и выше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6D6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F5139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AF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и выше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6D6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5139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39" w:rsidRPr="00AE7E1C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AF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B- / B- /B3 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и выше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6D6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F5139" w:rsidRPr="00FB1EA8" w:rsidTr="001138BC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AF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+/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Caa</w:t>
            </w:r>
            <w:proofErr w:type="spellEnd"/>
            <w:r w:rsidRPr="00FB1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6D6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DF5139" w:rsidRPr="00FB1EA8" w:rsidTr="001138B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1D7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ниже 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+/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Caa</w:t>
            </w:r>
            <w:proofErr w:type="spellEnd"/>
            <w:r w:rsidRPr="00FB1EA8">
              <w:rPr>
                <w:rFonts w:ascii="Times New Roman" w:hAnsi="Times New Roman"/>
                <w:sz w:val="20"/>
                <w:szCs w:val="20"/>
              </w:rPr>
              <w:t>1 и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ли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 отсутствие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рейтинга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9" w:rsidRPr="00FB1EA8" w:rsidRDefault="00DF5139" w:rsidP="006D6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</w:tr>
      <w:tr w:rsidR="00AE7E1C" w:rsidRPr="00FB1EA8" w:rsidTr="001138B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8108BC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108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Q-4</w:t>
            </w:r>
            <w:r w:rsidR="00D93A27">
              <w:rPr>
                <w:rStyle w:val="ae"/>
                <w:rFonts w:ascii="Times New Roman" w:hAnsi="Times New Roman"/>
                <w:b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1138BC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 xml:space="preserve">Отсутствие фактов превышения максимальных  ставок вознаграждения, выдачи денежно-вещевых призов, организации акций о проведении лотереи, розыгрыше и (или) выдаче таких призов или нахождение банка-участника в группе «S»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E1C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Наличие фактов превышения максимальных ставок вознаграждения, выдачи денежно-вещевых призов, организации акций о проведении лотереи, розыгрыше и (или) выдаче таких призов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95D">
              <w:rPr>
                <w:rFonts w:ascii="Times New Roman" w:hAnsi="Times New Roman"/>
                <w:sz w:val="20"/>
                <w:szCs w:val="20"/>
              </w:rPr>
              <w:t>0 (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банк переходит в группу «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»</w:t>
            </w:r>
            <w:r w:rsidRPr="005D195D">
              <w:rPr>
                <w:rFonts w:ascii="Times New Roman" w:hAnsi="Times New Roman"/>
                <w:sz w:val="20"/>
                <w:szCs w:val="20"/>
              </w:rPr>
              <w:t>)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7E1C" w:rsidRPr="00FB1EA8" w:rsidTr="001138BC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Отсутствие фактов превышения максимальных ставок вознаграждения, выдачи денежно-вещевых призов, организации акций о проведении лотереи, розыгрыше и (или) выдаче таких призов в течение первого квартала после выхода банка-участника из группы «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AE7E1C" w:rsidRPr="00FB1EA8" w:rsidTr="001138B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Отсутствие фактов превышения максимальных ставок вознаграждения, выдачи денежно-вещевых призов, организации акций о проведении лотереи, розыгрыше и (или) выдаче таких призов в течение второго квартала после выхода банка-участника из группы «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AE7E1C" w:rsidRPr="00FB1EA8" w:rsidTr="001138BC">
        <w:trPr>
          <w:trHeight w:val="7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E1C" w:rsidRPr="00DB7871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Q-5</w:t>
            </w:r>
          </w:p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B1EA8">
              <w:rPr>
                <w:rFonts w:ascii="Times New Roman" w:hAnsi="Times New Roman"/>
                <w:b/>
                <w:sz w:val="20"/>
                <w:szCs w:val="20"/>
              </w:rPr>
              <w:t>5-1</w:t>
            </w:r>
          </w:p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Наличие увеличения суммы количественных баллов за отчетный квартал на 5 и более баллов по сравнению с предыдущим отчетным кварталом, если сумма количественных баллов не менее 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DB7871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E1C" w:rsidRPr="00FB1EA8" w:rsidTr="001138BC">
        <w:trPr>
          <w:trHeight w:val="7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Наличие увеличения суммы количественных баллов за отчетный квартал на 5 и более баллов по сравнению с предыдущим отчетным кварталом, если сумма количественных баллов менее 70 или</w:t>
            </w:r>
          </w:p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отсутствие увеличения суммы количественных баллов за отчетный квартал на 5 и более баллов по сравнению с предыдущим отчетным кварталом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E1C" w:rsidRPr="00FB1EA8" w:rsidTr="001138BC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</w:t>
            </w:r>
            <w:r w:rsidRPr="00FB1EA8">
              <w:rPr>
                <w:rFonts w:ascii="Times New Roman" w:hAnsi="Times New Roman"/>
                <w:b/>
                <w:sz w:val="20"/>
                <w:szCs w:val="20"/>
              </w:rPr>
              <w:t>5-2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FB1EA8">
              <w:rPr>
                <w:rFonts w:ascii="Times New Roman" w:hAnsi="Times New Roman"/>
                <w:sz w:val="20"/>
                <w:szCs w:val="18"/>
              </w:rPr>
              <w:t>Отсутствие фактов соответствия критериям оценки негативного влияния смены Председателя Правления и/или  Совета директоров и/или изменения состава Правления и/или  Совета директоров на 1/3 на деятельность банка либо соответствие одному такому критерию в течение двенадцати последовательных календарных месяцев предшествующих расчетному</w:t>
            </w:r>
            <w:r w:rsidRPr="00FB1EA8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кварталу после смены Председателей и/или изменения состава </w:t>
            </w:r>
            <w:r w:rsidRPr="00FB1EA8">
              <w:rPr>
                <w:rFonts w:ascii="Times New Roman" w:hAnsi="Times New Roman"/>
                <w:sz w:val="20"/>
                <w:szCs w:val="18"/>
              </w:rPr>
              <w:t>Правления и/или  Совета директоров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E1C" w:rsidRPr="00FB1EA8" w:rsidTr="001138BC">
        <w:trPr>
          <w:trHeight w:val="5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FB1EA8">
              <w:rPr>
                <w:rFonts w:ascii="Times New Roman" w:hAnsi="Times New Roman"/>
                <w:sz w:val="20"/>
                <w:szCs w:val="18"/>
              </w:rPr>
              <w:t>Наличие фактов соответствия двум и более критериям оценки негативного влияния смены Председателя Правления и/или  Совета директоров  и/или изменения состава Правления и/или Совета директоров на 1/3 на деятельность банка в течение двенадцати последовательных календарных месяцев предшествующих расчетному</w:t>
            </w:r>
            <w:r w:rsidRPr="00FB1EA8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кварталу после смены Председателей </w:t>
            </w:r>
            <w:r w:rsidRPr="00FB1EA8">
              <w:rPr>
                <w:rFonts w:ascii="Times New Roman" w:hAnsi="Times New Roman"/>
                <w:sz w:val="20"/>
                <w:szCs w:val="18"/>
              </w:rPr>
              <w:t>и/или</w:t>
            </w:r>
            <w:r w:rsidRPr="00FB1EA8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изменения состава </w:t>
            </w:r>
            <w:r w:rsidRPr="00FB1EA8">
              <w:rPr>
                <w:rFonts w:ascii="Times New Roman" w:hAnsi="Times New Roman"/>
                <w:sz w:val="20"/>
                <w:szCs w:val="18"/>
              </w:rPr>
              <w:t>Правления и/или  Совета директоров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E1C" w:rsidRPr="00FB1EA8" w:rsidTr="001138BC">
        <w:trPr>
          <w:trHeight w:val="333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B1EA8">
              <w:rPr>
                <w:rFonts w:ascii="Times New Roman" w:hAnsi="Times New Roman"/>
                <w:sz w:val="20"/>
              </w:rPr>
              <w:t xml:space="preserve">Критерии </w:t>
            </w:r>
            <w:proofErr w:type="gramStart"/>
            <w:r w:rsidRPr="00FB1EA8">
              <w:rPr>
                <w:rFonts w:ascii="Times New Roman" w:hAnsi="Times New Roman"/>
                <w:sz w:val="20"/>
              </w:rPr>
              <w:t>оценки негативного влияния смены Председателя Правления</w:t>
            </w:r>
            <w:proofErr w:type="gramEnd"/>
            <w:r w:rsidRPr="00FB1EA8">
              <w:rPr>
                <w:rFonts w:ascii="Times New Roman" w:hAnsi="Times New Roman"/>
                <w:sz w:val="20"/>
              </w:rPr>
              <w:t xml:space="preserve"> </w:t>
            </w:r>
            <w:r w:rsidRPr="00FB1EA8">
              <w:rPr>
                <w:rFonts w:ascii="Times New Roman" w:hAnsi="Times New Roman"/>
                <w:sz w:val="20"/>
                <w:szCs w:val="18"/>
              </w:rPr>
              <w:t xml:space="preserve">и/или </w:t>
            </w:r>
            <w:r w:rsidRPr="00FB1EA8">
              <w:rPr>
                <w:rFonts w:ascii="Times New Roman" w:hAnsi="Times New Roman"/>
                <w:sz w:val="20"/>
              </w:rPr>
              <w:t xml:space="preserve">Совета директоров и/или изменения состава Правления </w:t>
            </w:r>
            <w:r w:rsidRPr="00FB1EA8">
              <w:rPr>
                <w:rFonts w:ascii="Times New Roman" w:hAnsi="Times New Roman"/>
                <w:sz w:val="20"/>
                <w:szCs w:val="18"/>
              </w:rPr>
              <w:t xml:space="preserve">и/или </w:t>
            </w:r>
            <w:r w:rsidRPr="00FB1EA8">
              <w:rPr>
                <w:rFonts w:ascii="Times New Roman" w:hAnsi="Times New Roman"/>
                <w:sz w:val="20"/>
              </w:rPr>
              <w:t>Совета директоров на 1/3 на деятельность банка:</w:t>
            </w:r>
          </w:p>
          <w:p w:rsidR="00AE7E1C" w:rsidRPr="00FB1EA8" w:rsidRDefault="00AE7E1C" w:rsidP="00FB1EA8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B1EA8">
              <w:rPr>
                <w:rFonts w:ascii="Times New Roman" w:hAnsi="Times New Roman"/>
                <w:sz w:val="20"/>
              </w:rPr>
              <w:t>снижение рейтинга, присвоенного банку-участнику одним или несколькими международными рейтинговыми агентствами;</w:t>
            </w:r>
          </w:p>
          <w:p w:rsidR="00AE7E1C" w:rsidRPr="00FB1EA8" w:rsidRDefault="00AE7E1C" w:rsidP="00FB1EA8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B1EA8">
              <w:rPr>
                <w:rFonts w:ascii="Times New Roman" w:hAnsi="Times New Roman"/>
                <w:sz w:val="20"/>
              </w:rPr>
              <w:t>снижение собственного капитала банка-участника ниже среднерыночного отрицательного изменения собственного капитала банков-участников;</w:t>
            </w:r>
          </w:p>
          <w:p w:rsidR="00AE7E1C" w:rsidRPr="00FB1EA8" w:rsidRDefault="00AE7E1C" w:rsidP="00FB1EA8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B1EA8">
              <w:rPr>
                <w:rFonts w:ascii="Times New Roman" w:hAnsi="Times New Roman"/>
                <w:sz w:val="20"/>
              </w:rPr>
              <w:t>снижение нераспределенной чистой прибыли банка-участника ниже среднерыночного отрицательного изменения нераспределенной чистой прибыли банков-участников;</w:t>
            </w:r>
          </w:p>
          <w:p w:rsidR="00AE7E1C" w:rsidRPr="00FB1EA8" w:rsidRDefault="00AE7E1C" w:rsidP="00FB1EA8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sz w:val="20"/>
              </w:rPr>
              <w:t>снижение коэффициентов срочной ликвидности банка-участника к-4, к4-1, к4-2, к4-3 ниже среднерыночного отрицательного изменения коэффициентов срочной ликвидности банков-участников к-4, к4-1, к4-2, к4-3;</w:t>
            </w:r>
          </w:p>
          <w:p w:rsidR="00AE7E1C" w:rsidRPr="00FB1EA8" w:rsidRDefault="00AE7E1C" w:rsidP="00FB1EA8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1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уровня NPL  на величину, превышающую среднерыночное  </w:t>
            </w:r>
            <w:r w:rsidRPr="00FB1EA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положительное изменение </w:t>
            </w:r>
            <w:r w:rsidRPr="00FB1EA8">
              <w:rPr>
                <w:rFonts w:ascii="Times New Roman" w:hAnsi="Times New Roman"/>
                <w:color w:val="000000"/>
                <w:sz w:val="20"/>
                <w:szCs w:val="20"/>
              </w:rPr>
              <w:t>уровня NPL.</w:t>
            </w:r>
          </w:p>
        </w:tc>
      </w:tr>
      <w:tr w:rsidR="00AE7E1C" w:rsidRPr="00FB1EA8" w:rsidTr="001138BC">
        <w:trPr>
          <w:trHeight w:val="2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AE7E1C" w:rsidRPr="00FB1EA8" w:rsidTr="001138BC">
        <w:trPr>
          <w:trHeight w:val="5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Q-</w:t>
            </w:r>
            <w:r w:rsidRPr="00FB1E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Наличие увеличения базовой прибыли на акцию по сравнению с прошлым отчетным годом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E7E1C" w:rsidRPr="00FB1EA8" w:rsidTr="001138BC">
        <w:trPr>
          <w:trHeight w:val="4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 xml:space="preserve">Наличие уменьшения или отсутствие изменения базовой прибыли  на акцию  или  наличие  убытка на акцию по сравнению с прошлым отчетным годом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E1C" w:rsidRPr="00FB1EA8" w:rsidTr="001138BC">
        <w:trPr>
          <w:trHeight w:val="4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B1E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Q-</w:t>
            </w:r>
            <w:r w:rsidRPr="00FB1E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B1EA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Отсутствие фактов привлечения банком-участником депозитов физических лиц посредством услуг агента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7E1C" w:rsidRPr="00FB1EA8" w:rsidTr="001138BC">
        <w:trPr>
          <w:trHeight w:val="5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EA8">
              <w:rPr>
                <w:rFonts w:ascii="Times New Roman" w:hAnsi="Times New Roman"/>
                <w:sz w:val="20"/>
                <w:szCs w:val="20"/>
              </w:rPr>
              <w:t>Привлечение банком-участником депозитов физических лиц посредством услуг агента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1C" w:rsidRPr="00FB1EA8" w:rsidRDefault="00AE7E1C" w:rsidP="00FB1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(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банк переходит в группу «</w:t>
            </w:r>
            <w:r w:rsidRPr="00FB1EA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B1EA8">
              <w:rPr>
                <w:rFonts w:ascii="Times New Roman" w:hAnsi="Times New Roman"/>
                <w:sz w:val="20"/>
                <w:szCs w:val="20"/>
              </w:rPr>
              <w:t>» и остается в данной группе на период пяти кварталов с момента выявления соответствующего факта</w:t>
            </w:r>
            <w:r w:rsidRPr="00FB1EA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B1EA8" w:rsidRPr="00FB1EA8" w:rsidRDefault="00FB1EA8" w:rsidP="00FB1E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1EA8" w:rsidRPr="00FB1EA8" w:rsidRDefault="00FB1EA8" w:rsidP="00FB1EA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0B6413" w:rsidRDefault="000B6413">
      <w:pPr>
        <w:rPr>
          <w:rFonts w:ascii="Times New Roman" w:hAnsi="Times New Roman"/>
          <w:sz w:val="20"/>
          <w:szCs w:val="24"/>
        </w:rPr>
      </w:pPr>
    </w:p>
    <w:sectPr w:rsidR="000B6413" w:rsidSect="0038133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AB" w:rsidRDefault="00721DAB" w:rsidP="00FB1EA8">
      <w:pPr>
        <w:spacing w:after="0" w:line="240" w:lineRule="auto"/>
      </w:pPr>
      <w:r>
        <w:separator/>
      </w:r>
    </w:p>
  </w:endnote>
  <w:endnote w:type="continuationSeparator" w:id="0">
    <w:p w:rsidR="00721DAB" w:rsidRDefault="00721DAB" w:rsidP="00FB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AB" w:rsidRDefault="00721DAB" w:rsidP="00FB1EA8">
      <w:pPr>
        <w:spacing w:after="0" w:line="240" w:lineRule="auto"/>
      </w:pPr>
      <w:r>
        <w:separator/>
      </w:r>
    </w:p>
  </w:footnote>
  <w:footnote w:type="continuationSeparator" w:id="0">
    <w:p w:rsidR="00721DAB" w:rsidRDefault="00721DAB" w:rsidP="00FB1EA8">
      <w:pPr>
        <w:spacing w:after="0" w:line="240" w:lineRule="auto"/>
      </w:pPr>
      <w:r>
        <w:continuationSeparator/>
      </w:r>
    </w:p>
  </w:footnote>
  <w:footnote w:id="1">
    <w:p w:rsidR="00984BD6" w:rsidRDefault="00984BD6" w:rsidP="0008133C">
      <w:pPr>
        <w:pStyle w:val="a4"/>
        <w:jc w:val="both"/>
      </w:pPr>
      <w:r w:rsidRPr="00740BF0">
        <w:rPr>
          <w:rStyle w:val="ae"/>
        </w:rPr>
        <w:footnoteRef/>
      </w:r>
      <w:r w:rsidRPr="00740BF0">
        <w:t xml:space="preserve"> </w:t>
      </w:r>
      <w:r w:rsidR="006761D1" w:rsidRPr="00740BF0">
        <w:rPr>
          <w:rFonts w:ascii="Times New Roman" w:hAnsi="Times New Roman"/>
          <w:sz w:val="18"/>
          <w:szCs w:val="18"/>
        </w:rPr>
        <w:t xml:space="preserve">при расчете качественного индикатора Q-2 </w:t>
      </w:r>
      <w:r w:rsidR="002F19F5" w:rsidRPr="00740BF0">
        <w:rPr>
          <w:rFonts w:ascii="Times New Roman" w:hAnsi="Times New Roman"/>
          <w:sz w:val="18"/>
          <w:szCs w:val="18"/>
        </w:rPr>
        <w:t xml:space="preserve">по данным строкам </w:t>
      </w:r>
      <w:r w:rsidRPr="00740BF0">
        <w:rPr>
          <w:rFonts w:ascii="Times New Roman" w:hAnsi="Times New Roman"/>
          <w:sz w:val="18"/>
          <w:szCs w:val="18"/>
        </w:rPr>
        <w:t xml:space="preserve">учитываются </w:t>
      </w:r>
      <w:r w:rsidR="00D120BB" w:rsidRPr="00740BF0">
        <w:rPr>
          <w:rFonts w:ascii="Times New Roman" w:hAnsi="Times New Roman"/>
          <w:sz w:val="18"/>
          <w:szCs w:val="18"/>
        </w:rPr>
        <w:t xml:space="preserve">административные </w:t>
      </w:r>
      <w:r w:rsidRPr="00740BF0">
        <w:rPr>
          <w:rFonts w:ascii="Times New Roman" w:hAnsi="Times New Roman"/>
          <w:sz w:val="18"/>
          <w:szCs w:val="18"/>
        </w:rPr>
        <w:t>штрафы</w:t>
      </w:r>
      <w:r w:rsidR="00D120BB" w:rsidRPr="00740BF0">
        <w:rPr>
          <w:rFonts w:ascii="Times New Roman" w:hAnsi="Times New Roman"/>
          <w:sz w:val="18"/>
          <w:szCs w:val="18"/>
        </w:rPr>
        <w:t>, наложенные</w:t>
      </w:r>
      <w:r w:rsidRPr="00740BF0">
        <w:rPr>
          <w:rFonts w:ascii="Times New Roman" w:hAnsi="Times New Roman"/>
          <w:sz w:val="18"/>
          <w:szCs w:val="18"/>
        </w:rPr>
        <w:t xml:space="preserve"> по статьям 213</w:t>
      </w:r>
      <w:r w:rsidR="003206E8" w:rsidRPr="00740BF0">
        <w:rPr>
          <w:rFonts w:ascii="Times New Roman" w:hAnsi="Times New Roman"/>
          <w:sz w:val="18"/>
          <w:szCs w:val="18"/>
        </w:rPr>
        <w:t xml:space="preserve"> (части</w:t>
      </w:r>
      <w:r w:rsidR="00DB3B14" w:rsidRPr="00740BF0">
        <w:rPr>
          <w:rFonts w:ascii="Times New Roman" w:hAnsi="Times New Roman"/>
          <w:sz w:val="18"/>
          <w:szCs w:val="18"/>
        </w:rPr>
        <w:t xml:space="preserve"> с четвертой</w:t>
      </w:r>
      <w:r w:rsidR="008B06BF" w:rsidRPr="00740BF0">
        <w:rPr>
          <w:rFonts w:ascii="Times New Roman" w:hAnsi="Times New Roman"/>
          <w:sz w:val="18"/>
          <w:szCs w:val="18"/>
        </w:rPr>
        <w:t xml:space="preserve"> по четырнадцатой</w:t>
      </w:r>
      <w:r w:rsidR="003206E8" w:rsidRPr="00740BF0">
        <w:rPr>
          <w:rFonts w:ascii="Times New Roman" w:hAnsi="Times New Roman"/>
          <w:sz w:val="18"/>
          <w:szCs w:val="18"/>
        </w:rPr>
        <w:t>)</w:t>
      </w:r>
      <w:r w:rsidRPr="00740BF0">
        <w:rPr>
          <w:rFonts w:ascii="Times New Roman" w:hAnsi="Times New Roman"/>
          <w:sz w:val="18"/>
          <w:szCs w:val="18"/>
        </w:rPr>
        <w:t>, 215, 223, 232</w:t>
      </w:r>
      <w:r w:rsidR="00276B69" w:rsidRPr="00740BF0">
        <w:rPr>
          <w:rFonts w:ascii="Times New Roman" w:hAnsi="Times New Roman"/>
          <w:sz w:val="18"/>
          <w:szCs w:val="18"/>
        </w:rPr>
        <w:t xml:space="preserve"> и</w:t>
      </w:r>
      <w:r w:rsidR="00F93155" w:rsidRPr="00740BF0">
        <w:rPr>
          <w:rFonts w:ascii="Times New Roman" w:hAnsi="Times New Roman"/>
          <w:sz w:val="18"/>
          <w:szCs w:val="18"/>
        </w:rPr>
        <w:t xml:space="preserve"> 239</w:t>
      </w:r>
      <w:r w:rsidRPr="00740BF0">
        <w:rPr>
          <w:rFonts w:ascii="Times New Roman" w:hAnsi="Times New Roman"/>
          <w:sz w:val="18"/>
          <w:szCs w:val="18"/>
        </w:rPr>
        <w:t xml:space="preserve"> Кодекса РК об административных правонарушения</w:t>
      </w:r>
      <w:r w:rsidR="00D120BB" w:rsidRPr="00740BF0">
        <w:rPr>
          <w:rFonts w:ascii="Times New Roman" w:hAnsi="Times New Roman"/>
          <w:sz w:val="18"/>
          <w:szCs w:val="18"/>
        </w:rPr>
        <w:t>х.</w:t>
      </w:r>
    </w:p>
  </w:footnote>
  <w:footnote w:id="2">
    <w:p w:rsidR="00DF5139" w:rsidRDefault="00DF5139" w:rsidP="00FB1EA8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по состоянию на первое число третьего месяца отчётного квартала. П</w:t>
      </w:r>
      <w:r>
        <w:rPr>
          <w:rFonts w:ascii="Times New Roman" w:hAnsi="Times New Roman"/>
          <w:sz w:val="18"/>
          <w:szCs w:val="18"/>
          <w:lang w:val="kk-KZ"/>
        </w:rPr>
        <w:t>ри наличии нескольких кредитных рейтингов у банка во внимание будет приниматься наименьший рейтинг.</w:t>
      </w:r>
    </w:p>
  </w:footnote>
  <w:footnote w:id="3">
    <w:p w:rsidR="00A552AB" w:rsidRPr="00A552AB" w:rsidRDefault="00D93A27" w:rsidP="00F602D7">
      <w:pPr>
        <w:pStyle w:val="a4"/>
        <w:jc w:val="both"/>
        <w:rPr>
          <w:rFonts w:ascii="Times New Roman" w:hAnsi="Times New Roman"/>
          <w:sz w:val="18"/>
        </w:rPr>
      </w:pPr>
      <w:r w:rsidRPr="00E656E5">
        <w:rPr>
          <w:rStyle w:val="ae"/>
          <w:rFonts w:ascii="Times New Roman" w:hAnsi="Times New Roman"/>
          <w:sz w:val="18"/>
        </w:rPr>
        <w:footnoteRef/>
      </w:r>
      <w:r w:rsidRPr="00E656E5">
        <w:rPr>
          <w:rFonts w:ascii="Times New Roman" w:hAnsi="Times New Roman"/>
          <w:sz w:val="18"/>
        </w:rPr>
        <w:t xml:space="preserve"> </w:t>
      </w:r>
      <w:r w:rsidR="00A552AB" w:rsidRPr="00A552AB">
        <w:rPr>
          <w:rFonts w:ascii="Times New Roman" w:hAnsi="Times New Roman"/>
          <w:sz w:val="18"/>
        </w:rPr>
        <w:t>если после перевода банка-участника в группу «S»</w:t>
      </w:r>
      <w:r w:rsidR="00A552AB">
        <w:rPr>
          <w:rFonts w:ascii="Times New Roman" w:hAnsi="Times New Roman"/>
          <w:sz w:val="18"/>
        </w:rPr>
        <w:t xml:space="preserve"> группа данного банка</w:t>
      </w:r>
      <w:r w:rsidR="00DD1B7B">
        <w:rPr>
          <w:rFonts w:ascii="Times New Roman" w:hAnsi="Times New Roman"/>
          <w:sz w:val="18"/>
        </w:rPr>
        <w:t>-участника</w:t>
      </w:r>
      <w:r w:rsidR="00A552AB">
        <w:rPr>
          <w:rFonts w:ascii="Times New Roman" w:hAnsi="Times New Roman"/>
          <w:sz w:val="18"/>
        </w:rPr>
        <w:t xml:space="preserve"> </w:t>
      </w:r>
      <w:r w:rsidR="00DD1B7B">
        <w:rPr>
          <w:rFonts w:ascii="Times New Roman" w:hAnsi="Times New Roman"/>
          <w:sz w:val="18"/>
        </w:rPr>
        <w:t xml:space="preserve">в двух последующих кварталах </w:t>
      </w:r>
      <w:r w:rsidR="00A552AB">
        <w:rPr>
          <w:rFonts w:ascii="Times New Roman" w:hAnsi="Times New Roman"/>
          <w:sz w:val="18"/>
        </w:rPr>
        <w:t xml:space="preserve">ухудшается только из-за вычетов баллов по </w:t>
      </w:r>
      <w:r w:rsidR="00A552AB">
        <w:rPr>
          <w:rFonts w:ascii="Times New Roman" w:hAnsi="Times New Roman"/>
          <w:sz w:val="18"/>
          <w:lang w:val="en-US"/>
        </w:rPr>
        <w:t>Q</w:t>
      </w:r>
      <w:r w:rsidR="00A552AB" w:rsidRPr="00F602D7">
        <w:rPr>
          <w:rFonts w:ascii="Times New Roman" w:hAnsi="Times New Roman"/>
          <w:sz w:val="18"/>
        </w:rPr>
        <w:t>-4</w:t>
      </w:r>
      <w:r w:rsidR="00A552AB">
        <w:rPr>
          <w:rFonts w:ascii="Times New Roman" w:hAnsi="Times New Roman"/>
          <w:sz w:val="18"/>
        </w:rPr>
        <w:t xml:space="preserve">, </w:t>
      </w:r>
      <w:r w:rsidR="00A552AB" w:rsidRPr="00A552AB">
        <w:rPr>
          <w:rFonts w:ascii="Times New Roman" w:hAnsi="Times New Roman"/>
          <w:sz w:val="18"/>
        </w:rPr>
        <w:t>то размер повышенного взноса не может превышать сумму, установленную  пунктом 4-1 настоящих Правил.</w:t>
      </w:r>
      <w:r w:rsidR="00A552AB">
        <w:rPr>
          <w:rFonts w:ascii="Times New Roman" w:hAnsi="Times New Roman"/>
          <w:sz w:val="18"/>
        </w:rPr>
        <w:t xml:space="preserve"> </w:t>
      </w:r>
      <w:r w:rsidR="00DD1B7B">
        <w:rPr>
          <w:rFonts w:ascii="Times New Roman" w:hAnsi="Times New Roman"/>
          <w:sz w:val="18"/>
        </w:rPr>
        <w:t xml:space="preserve"> </w:t>
      </w:r>
    </w:p>
    <w:p w:rsidR="009E57CF" w:rsidRDefault="009E57CF" w:rsidP="00F602D7">
      <w:pPr>
        <w:pStyle w:val="a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 этом ограничение размера повышенного взноса, установленное пунктом 4-1 настоящих Правил, распространяется на все три рассматриваемых квартала </w:t>
      </w:r>
      <w:r w:rsidR="009B5C9C">
        <w:rPr>
          <w:rFonts w:ascii="Times New Roman" w:hAnsi="Times New Roman"/>
          <w:sz w:val="18"/>
        </w:rPr>
        <w:t xml:space="preserve">совокупно </w:t>
      </w:r>
      <w:r>
        <w:rPr>
          <w:rFonts w:ascii="Times New Roman" w:hAnsi="Times New Roman"/>
          <w:sz w:val="18"/>
        </w:rPr>
        <w:t>(квартал, в котором банк-участник был переведен в группу «</w:t>
      </w:r>
      <w:r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</w:rPr>
        <w:t>»</w:t>
      </w:r>
      <w:r w:rsidR="00A31512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 xml:space="preserve"> и два последующих квартала).</w:t>
      </w:r>
    </w:p>
    <w:p w:rsidR="00D93A27" w:rsidRPr="00E656E5" w:rsidRDefault="009B5C9C" w:rsidP="00F602D7">
      <w:pPr>
        <w:pStyle w:val="a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Однако если в двух последующих рассматриваемых кварталах выявлены новые основания для перевода банка-участника в группу «</w:t>
      </w:r>
      <w:r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</w:rPr>
        <w:t>», то вышеуказанное ограничение размера повышенного взноса не распространяется на данные кварталы.</w:t>
      </w:r>
    </w:p>
  </w:footnote>
  <w:footnote w:id="4">
    <w:p w:rsidR="00AE7E1C" w:rsidRDefault="00AE7E1C" w:rsidP="00FB1EA8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по состоянию на первое число третьего месяца отчётного квартала</w:t>
      </w:r>
    </w:p>
  </w:footnote>
  <w:footnote w:id="5">
    <w:p w:rsidR="00AE7E1C" w:rsidRDefault="00AE7E1C" w:rsidP="00FB1EA8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расчет данного индикатора производится 1 раз в год во втором квартале на основании </w:t>
      </w:r>
      <w:proofErr w:type="spellStart"/>
      <w:r>
        <w:rPr>
          <w:rFonts w:ascii="Times New Roman" w:hAnsi="Times New Roman"/>
          <w:sz w:val="18"/>
          <w:szCs w:val="18"/>
        </w:rPr>
        <w:t>аудированной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финансовой отчетности банков-участников, представляемой до 30 апреля года следующего за отчетным годом, и учитывается при расчете индикатора в течение четырех последующих кварталов, включая сам расчетный квартал.   </w:t>
      </w:r>
    </w:p>
  </w:footnote>
  <w:footnote w:id="6">
    <w:p w:rsidR="00AE7E1C" w:rsidRDefault="00AE7E1C" w:rsidP="00FB1EA8">
      <w:pPr>
        <w:pStyle w:val="a4"/>
        <w:jc w:val="both"/>
        <w:rPr>
          <w:b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если банк-участник в течение кварталов, в которых он находился в группе «S» по причине привлечения им депозитов физических лиц посредством услуг агента, привлек депози</w:t>
      </w:r>
      <w:proofErr w:type="gramStart"/>
      <w:r>
        <w:rPr>
          <w:rFonts w:ascii="Times New Roman" w:hAnsi="Times New Roman"/>
          <w:sz w:val="18"/>
          <w:szCs w:val="18"/>
        </w:rPr>
        <w:t>т(</w:t>
      </w:r>
      <w:proofErr w:type="gramEnd"/>
      <w:r>
        <w:rPr>
          <w:rFonts w:ascii="Times New Roman" w:hAnsi="Times New Roman"/>
          <w:sz w:val="18"/>
          <w:szCs w:val="18"/>
        </w:rPr>
        <w:t>-ы) физического(-их) лица(-ц) посредством услуг агента, то банк-участник остается в группе «S» еще на пять кварталов с момента последнего факта привлечения банком-участником депозитов физических лиц посредством услуг агента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D9B"/>
    <w:multiLevelType w:val="hybridMultilevel"/>
    <w:tmpl w:val="E908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5B12"/>
    <w:multiLevelType w:val="hybridMultilevel"/>
    <w:tmpl w:val="5AB69354"/>
    <w:lvl w:ilvl="0" w:tplc="9FBC67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717493"/>
    <w:multiLevelType w:val="hybridMultilevel"/>
    <w:tmpl w:val="8D160DF6"/>
    <w:lvl w:ilvl="0" w:tplc="0FBAA6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14C23"/>
    <w:multiLevelType w:val="hybridMultilevel"/>
    <w:tmpl w:val="B3320390"/>
    <w:lvl w:ilvl="0" w:tplc="5C2EE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6539"/>
    <w:multiLevelType w:val="hybridMultilevel"/>
    <w:tmpl w:val="B3320390"/>
    <w:lvl w:ilvl="0" w:tplc="5C2EED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443DD"/>
    <w:multiLevelType w:val="hybridMultilevel"/>
    <w:tmpl w:val="1BB66E76"/>
    <w:lvl w:ilvl="0" w:tplc="570CB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576E6"/>
    <w:multiLevelType w:val="hybridMultilevel"/>
    <w:tmpl w:val="B3320390"/>
    <w:lvl w:ilvl="0" w:tplc="5C2EE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74552A"/>
    <w:multiLevelType w:val="hybridMultilevel"/>
    <w:tmpl w:val="07CA3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BD701D"/>
    <w:multiLevelType w:val="hybridMultilevel"/>
    <w:tmpl w:val="499A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0FB"/>
    <w:multiLevelType w:val="hybridMultilevel"/>
    <w:tmpl w:val="3F68D5D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576E1"/>
    <w:multiLevelType w:val="hybridMultilevel"/>
    <w:tmpl w:val="B3320390"/>
    <w:lvl w:ilvl="0" w:tplc="5C2EE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2A4584"/>
    <w:multiLevelType w:val="hybridMultilevel"/>
    <w:tmpl w:val="D4E634A2"/>
    <w:lvl w:ilvl="0" w:tplc="94E238B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3"/>
    <w:rsid w:val="00003905"/>
    <w:rsid w:val="00005805"/>
    <w:rsid w:val="00007C97"/>
    <w:rsid w:val="00007F38"/>
    <w:rsid w:val="000117CF"/>
    <w:rsid w:val="00024CDF"/>
    <w:rsid w:val="0003050D"/>
    <w:rsid w:val="0003099B"/>
    <w:rsid w:val="00030E0B"/>
    <w:rsid w:val="0003495B"/>
    <w:rsid w:val="00036091"/>
    <w:rsid w:val="00040BD6"/>
    <w:rsid w:val="00044E0C"/>
    <w:rsid w:val="00046DD8"/>
    <w:rsid w:val="00050E3A"/>
    <w:rsid w:val="000644B9"/>
    <w:rsid w:val="00064A3D"/>
    <w:rsid w:val="000674DD"/>
    <w:rsid w:val="0007310A"/>
    <w:rsid w:val="00073126"/>
    <w:rsid w:val="00073915"/>
    <w:rsid w:val="0008133C"/>
    <w:rsid w:val="00084434"/>
    <w:rsid w:val="000927EC"/>
    <w:rsid w:val="00093DAA"/>
    <w:rsid w:val="000956F6"/>
    <w:rsid w:val="000979EC"/>
    <w:rsid w:val="000A3253"/>
    <w:rsid w:val="000A5EA8"/>
    <w:rsid w:val="000A69A5"/>
    <w:rsid w:val="000B2BB7"/>
    <w:rsid w:val="000B4326"/>
    <w:rsid w:val="000B50FB"/>
    <w:rsid w:val="000B5CF0"/>
    <w:rsid w:val="000B6413"/>
    <w:rsid w:val="000C01B9"/>
    <w:rsid w:val="000C4906"/>
    <w:rsid w:val="000D65A5"/>
    <w:rsid w:val="000E098B"/>
    <w:rsid w:val="000E25D6"/>
    <w:rsid w:val="000E45FE"/>
    <w:rsid w:val="000F6F96"/>
    <w:rsid w:val="00101DD3"/>
    <w:rsid w:val="00105473"/>
    <w:rsid w:val="00105B2A"/>
    <w:rsid w:val="001065DF"/>
    <w:rsid w:val="00107B57"/>
    <w:rsid w:val="00110BC8"/>
    <w:rsid w:val="00111393"/>
    <w:rsid w:val="001138BC"/>
    <w:rsid w:val="001143A4"/>
    <w:rsid w:val="0011713D"/>
    <w:rsid w:val="00134EB2"/>
    <w:rsid w:val="00135F12"/>
    <w:rsid w:val="0014012C"/>
    <w:rsid w:val="00140F9B"/>
    <w:rsid w:val="00153C80"/>
    <w:rsid w:val="00154FD2"/>
    <w:rsid w:val="001658AB"/>
    <w:rsid w:val="00175D25"/>
    <w:rsid w:val="00177101"/>
    <w:rsid w:val="001843E6"/>
    <w:rsid w:val="00184DED"/>
    <w:rsid w:val="00190097"/>
    <w:rsid w:val="00192178"/>
    <w:rsid w:val="001966A7"/>
    <w:rsid w:val="00197C59"/>
    <w:rsid w:val="001A01AE"/>
    <w:rsid w:val="001A102D"/>
    <w:rsid w:val="001A6B6B"/>
    <w:rsid w:val="001A6C86"/>
    <w:rsid w:val="001B438F"/>
    <w:rsid w:val="001B4AEC"/>
    <w:rsid w:val="001B7A82"/>
    <w:rsid w:val="001B7E41"/>
    <w:rsid w:val="001C586A"/>
    <w:rsid w:val="001C6D01"/>
    <w:rsid w:val="001C7FE2"/>
    <w:rsid w:val="001D1B05"/>
    <w:rsid w:val="001D5F04"/>
    <w:rsid w:val="001E47AB"/>
    <w:rsid w:val="001E7547"/>
    <w:rsid w:val="001F346F"/>
    <w:rsid w:val="001F3950"/>
    <w:rsid w:val="001F54B3"/>
    <w:rsid w:val="001F61F8"/>
    <w:rsid w:val="00202757"/>
    <w:rsid w:val="002028AD"/>
    <w:rsid w:val="0021677D"/>
    <w:rsid w:val="0021796F"/>
    <w:rsid w:val="00217B2D"/>
    <w:rsid w:val="00225833"/>
    <w:rsid w:val="0024469A"/>
    <w:rsid w:val="00245A3E"/>
    <w:rsid w:val="002506AE"/>
    <w:rsid w:val="00260DED"/>
    <w:rsid w:val="0026436B"/>
    <w:rsid w:val="0026665E"/>
    <w:rsid w:val="00266F14"/>
    <w:rsid w:val="0026731D"/>
    <w:rsid w:val="00270C6E"/>
    <w:rsid w:val="0027401A"/>
    <w:rsid w:val="00276B69"/>
    <w:rsid w:val="00287469"/>
    <w:rsid w:val="002B7586"/>
    <w:rsid w:val="002C25CB"/>
    <w:rsid w:val="002C34FA"/>
    <w:rsid w:val="002C4621"/>
    <w:rsid w:val="002C6B4A"/>
    <w:rsid w:val="002D5105"/>
    <w:rsid w:val="002E251A"/>
    <w:rsid w:val="002E6A19"/>
    <w:rsid w:val="002E6C72"/>
    <w:rsid w:val="002F1836"/>
    <w:rsid w:val="002F19F5"/>
    <w:rsid w:val="003060AD"/>
    <w:rsid w:val="00307309"/>
    <w:rsid w:val="00312EEF"/>
    <w:rsid w:val="00313278"/>
    <w:rsid w:val="00313766"/>
    <w:rsid w:val="00317378"/>
    <w:rsid w:val="003206E8"/>
    <w:rsid w:val="00320A43"/>
    <w:rsid w:val="003237DA"/>
    <w:rsid w:val="00326872"/>
    <w:rsid w:val="00330898"/>
    <w:rsid w:val="003337E9"/>
    <w:rsid w:val="00337EF9"/>
    <w:rsid w:val="003414E3"/>
    <w:rsid w:val="0034356F"/>
    <w:rsid w:val="003535E0"/>
    <w:rsid w:val="0035624E"/>
    <w:rsid w:val="00356D1E"/>
    <w:rsid w:val="003609F1"/>
    <w:rsid w:val="00365A7C"/>
    <w:rsid w:val="00366EA8"/>
    <w:rsid w:val="00367BC1"/>
    <w:rsid w:val="00370C4F"/>
    <w:rsid w:val="0038003C"/>
    <w:rsid w:val="00381334"/>
    <w:rsid w:val="003820B2"/>
    <w:rsid w:val="00382EB9"/>
    <w:rsid w:val="0038414E"/>
    <w:rsid w:val="00387E19"/>
    <w:rsid w:val="003901B6"/>
    <w:rsid w:val="003A06D1"/>
    <w:rsid w:val="003B597B"/>
    <w:rsid w:val="003B7CA3"/>
    <w:rsid w:val="003C1B66"/>
    <w:rsid w:val="003D41AA"/>
    <w:rsid w:val="003D6A5B"/>
    <w:rsid w:val="003E0427"/>
    <w:rsid w:val="003E161A"/>
    <w:rsid w:val="003E18DA"/>
    <w:rsid w:val="003E1C89"/>
    <w:rsid w:val="003E52DC"/>
    <w:rsid w:val="003F0F53"/>
    <w:rsid w:val="003F4ACC"/>
    <w:rsid w:val="00401018"/>
    <w:rsid w:val="00407B74"/>
    <w:rsid w:val="00411E75"/>
    <w:rsid w:val="00413A17"/>
    <w:rsid w:val="004165E8"/>
    <w:rsid w:val="004176F2"/>
    <w:rsid w:val="00423E43"/>
    <w:rsid w:val="00441AB2"/>
    <w:rsid w:val="004428B2"/>
    <w:rsid w:val="00443ABD"/>
    <w:rsid w:val="004458D6"/>
    <w:rsid w:val="00446CFE"/>
    <w:rsid w:val="004474B5"/>
    <w:rsid w:val="00451A77"/>
    <w:rsid w:val="004530CF"/>
    <w:rsid w:val="0045374A"/>
    <w:rsid w:val="00453F8E"/>
    <w:rsid w:val="0045464A"/>
    <w:rsid w:val="00455C1B"/>
    <w:rsid w:val="00456366"/>
    <w:rsid w:val="00466E43"/>
    <w:rsid w:val="00467B08"/>
    <w:rsid w:val="00475158"/>
    <w:rsid w:val="004762B9"/>
    <w:rsid w:val="0048217F"/>
    <w:rsid w:val="004856CE"/>
    <w:rsid w:val="00487F79"/>
    <w:rsid w:val="0049121E"/>
    <w:rsid w:val="00493F1B"/>
    <w:rsid w:val="004954CF"/>
    <w:rsid w:val="0049738A"/>
    <w:rsid w:val="004978C2"/>
    <w:rsid w:val="004A271D"/>
    <w:rsid w:val="004C4E09"/>
    <w:rsid w:val="004C606C"/>
    <w:rsid w:val="004D0CCF"/>
    <w:rsid w:val="004D1AC7"/>
    <w:rsid w:val="004D1B1A"/>
    <w:rsid w:val="004D2F95"/>
    <w:rsid w:val="004E5D0D"/>
    <w:rsid w:val="004E6E8F"/>
    <w:rsid w:val="004E771C"/>
    <w:rsid w:val="004F6D75"/>
    <w:rsid w:val="004F6F06"/>
    <w:rsid w:val="004F7098"/>
    <w:rsid w:val="00500802"/>
    <w:rsid w:val="00501A94"/>
    <w:rsid w:val="005023A9"/>
    <w:rsid w:val="00511BE8"/>
    <w:rsid w:val="0051242A"/>
    <w:rsid w:val="0052132C"/>
    <w:rsid w:val="005228FF"/>
    <w:rsid w:val="005271D1"/>
    <w:rsid w:val="005368AA"/>
    <w:rsid w:val="005371B5"/>
    <w:rsid w:val="00545CEB"/>
    <w:rsid w:val="0054766E"/>
    <w:rsid w:val="0054783D"/>
    <w:rsid w:val="00553EC8"/>
    <w:rsid w:val="00554DA2"/>
    <w:rsid w:val="005672D4"/>
    <w:rsid w:val="005701C6"/>
    <w:rsid w:val="005745EF"/>
    <w:rsid w:val="005769EA"/>
    <w:rsid w:val="00580838"/>
    <w:rsid w:val="00581AAB"/>
    <w:rsid w:val="005836B3"/>
    <w:rsid w:val="00585E77"/>
    <w:rsid w:val="005913C0"/>
    <w:rsid w:val="005A5B54"/>
    <w:rsid w:val="005C53C1"/>
    <w:rsid w:val="005C5B36"/>
    <w:rsid w:val="005C5F99"/>
    <w:rsid w:val="005C71E3"/>
    <w:rsid w:val="005C726E"/>
    <w:rsid w:val="005D195D"/>
    <w:rsid w:val="005E3B5B"/>
    <w:rsid w:val="005F093C"/>
    <w:rsid w:val="006003A6"/>
    <w:rsid w:val="00601E87"/>
    <w:rsid w:val="0060724C"/>
    <w:rsid w:val="00612749"/>
    <w:rsid w:val="006131BB"/>
    <w:rsid w:val="00623B1B"/>
    <w:rsid w:val="006441AF"/>
    <w:rsid w:val="00645282"/>
    <w:rsid w:val="006477CC"/>
    <w:rsid w:val="006531FB"/>
    <w:rsid w:val="00653EAA"/>
    <w:rsid w:val="00654BF8"/>
    <w:rsid w:val="006574BF"/>
    <w:rsid w:val="00666BFB"/>
    <w:rsid w:val="006734F8"/>
    <w:rsid w:val="00675CAC"/>
    <w:rsid w:val="006761D1"/>
    <w:rsid w:val="0068439A"/>
    <w:rsid w:val="00690428"/>
    <w:rsid w:val="00696B19"/>
    <w:rsid w:val="006A0000"/>
    <w:rsid w:val="006A6703"/>
    <w:rsid w:val="006B14A1"/>
    <w:rsid w:val="006C43BB"/>
    <w:rsid w:val="006E04B0"/>
    <w:rsid w:val="006E3776"/>
    <w:rsid w:val="006F330F"/>
    <w:rsid w:val="00707486"/>
    <w:rsid w:val="007120D3"/>
    <w:rsid w:val="00712D0C"/>
    <w:rsid w:val="00715FC3"/>
    <w:rsid w:val="00720B4C"/>
    <w:rsid w:val="00721DAB"/>
    <w:rsid w:val="007306A5"/>
    <w:rsid w:val="00731ABF"/>
    <w:rsid w:val="00732A49"/>
    <w:rsid w:val="00733AD0"/>
    <w:rsid w:val="00736F71"/>
    <w:rsid w:val="0073731B"/>
    <w:rsid w:val="00737AB6"/>
    <w:rsid w:val="00740BF0"/>
    <w:rsid w:val="0074157C"/>
    <w:rsid w:val="00743574"/>
    <w:rsid w:val="007475BC"/>
    <w:rsid w:val="00756E5E"/>
    <w:rsid w:val="00757EF6"/>
    <w:rsid w:val="00762164"/>
    <w:rsid w:val="00762C9D"/>
    <w:rsid w:val="00763E72"/>
    <w:rsid w:val="00777FD0"/>
    <w:rsid w:val="007824F8"/>
    <w:rsid w:val="007837E8"/>
    <w:rsid w:val="00790C6F"/>
    <w:rsid w:val="00794091"/>
    <w:rsid w:val="007A02E1"/>
    <w:rsid w:val="007A178C"/>
    <w:rsid w:val="007A57F8"/>
    <w:rsid w:val="007B05FF"/>
    <w:rsid w:val="007B0B19"/>
    <w:rsid w:val="007B0F7A"/>
    <w:rsid w:val="007C4054"/>
    <w:rsid w:val="007C4942"/>
    <w:rsid w:val="007D22D1"/>
    <w:rsid w:val="007D4624"/>
    <w:rsid w:val="007D77C5"/>
    <w:rsid w:val="007E2C6A"/>
    <w:rsid w:val="007F18E8"/>
    <w:rsid w:val="007F37CA"/>
    <w:rsid w:val="007F5F68"/>
    <w:rsid w:val="007F7E3C"/>
    <w:rsid w:val="00801EA9"/>
    <w:rsid w:val="00807057"/>
    <w:rsid w:val="008070E7"/>
    <w:rsid w:val="008108BC"/>
    <w:rsid w:val="00811090"/>
    <w:rsid w:val="00813B52"/>
    <w:rsid w:val="00815C47"/>
    <w:rsid w:val="00815D60"/>
    <w:rsid w:val="00816093"/>
    <w:rsid w:val="00820B36"/>
    <w:rsid w:val="00821330"/>
    <w:rsid w:val="00821968"/>
    <w:rsid w:val="0082486A"/>
    <w:rsid w:val="00830BE8"/>
    <w:rsid w:val="00831498"/>
    <w:rsid w:val="00835CB0"/>
    <w:rsid w:val="00836A24"/>
    <w:rsid w:val="00841687"/>
    <w:rsid w:val="00845262"/>
    <w:rsid w:val="008502AD"/>
    <w:rsid w:val="008514B6"/>
    <w:rsid w:val="0085250E"/>
    <w:rsid w:val="008564C5"/>
    <w:rsid w:val="00857A8A"/>
    <w:rsid w:val="008623EE"/>
    <w:rsid w:val="008630D3"/>
    <w:rsid w:val="00865B74"/>
    <w:rsid w:val="00865D0C"/>
    <w:rsid w:val="00871A74"/>
    <w:rsid w:val="00872703"/>
    <w:rsid w:val="00872922"/>
    <w:rsid w:val="00874462"/>
    <w:rsid w:val="00877AD4"/>
    <w:rsid w:val="008915B0"/>
    <w:rsid w:val="008922F9"/>
    <w:rsid w:val="00893F9C"/>
    <w:rsid w:val="008A1E0F"/>
    <w:rsid w:val="008A2786"/>
    <w:rsid w:val="008A3F0A"/>
    <w:rsid w:val="008B00AB"/>
    <w:rsid w:val="008B05B1"/>
    <w:rsid w:val="008B06BF"/>
    <w:rsid w:val="008B1829"/>
    <w:rsid w:val="008C17A0"/>
    <w:rsid w:val="008C3AF6"/>
    <w:rsid w:val="008D2521"/>
    <w:rsid w:val="008D2FC3"/>
    <w:rsid w:val="008D4148"/>
    <w:rsid w:val="008E1C8E"/>
    <w:rsid w:val="008F53A9"/>
    <w:rsid w:val="009029D8"/>
    <w:rsid w:val="0090678B"/>
    <w:rsid w:val="0090764E"/>
    <w:rsid w:val="00916B7A"/>
    <w:rsid w:val="009202ED"/>
    <w:rsid w:val="00921E78"/>
    <w:rsid w:val="009249F7"/>
    <w:rsid w:val="00925909"/>
    <w:rsid w:val="00925A17"/>
    <w:rsid w:val="00927721"/>
    <w:rsid w:val="00927E4A"/>
    <w:rsid w:val="00934FD6"/>
    <w:rsid w:val="009465DB"/>
    <w:rsid w:val="00946F8E"/>
    <w:rsid w:val="009532C3"/>
    <w:rsid w:val="00953CF2"/>
    <w:rsid w:val="009606F4"/>
    <w:rsid w:val="00960B8D"/>
    <w:rsid w:val="00961912"/>
    <w:rsid w:val="00964218"/>
    <w:rsid w:val="00964645"/>
    <w:rsid w:val="00965978"/>
    <w:rsid w:val="009707F6"/>
    <w:rsid w:val="00970944"/>
    <w:rsid w:val="00971764"/>
    <w:rsid w:val="00972C86"/>
    <w:rsid w:val="00976040"/>
    <w:rsid w:val="00984BD6"/>
    <w:rsid w:val="009874CB"/>
    <w:rsid w:val="00994D58"/>
    <w:rsid w:val="009A4108"/>
    <w:rsid w:val="009A52C9"/>
    <w:rsid w:val="009A7F12"/>
    <w:rsid w:val="009B11FA"/>
    <w:rsid w:val="009B220E"/>
    <w:rsid w:val="009B4C0B"/>
    <w:rsid w:val="009B5C9C"/>
    <w:rsid w:val="009C0175"/>
    <w:rsid w:val="009C2602"/>
    <w:rsid w:val="009C623F"/>
    <w:rsid w:val="009D38D0"/>
    <w:rsid w:val="009E42AA"/>
    <w:rsid w:val="009E57CF"/>
    <w:rsid w:val="009E602F"/>
    <w:rsid w:val="009F18F2"/>
    <w:rsid w:val="009F3054"/>
    <w:rsid w:val="009F3DAE"/>
    <w:rsid w:val="009F5068"/>
    <w:rsid w:val="009F5D91"/>
    <w:rsid w:val="00A027C8"/>
    <w:rsid w:val="00A1548E"/>
    <w:rsid w:val="00A21B12"/>
    <w:rsid w:val="00A31512"/>
    <w:rsid w:val="00A350E9"/>
    <w:rsid w:val="00A37439"/>
    <w:rsid w:val="00A41CAF"/>
    <w:rsid w:val="00A50209"/>
    <w:rsid w:val="00A546CC"/>
    <w:rsid w:val="00A548E0"/>
    <w:rsid w:val="00A552AB"/>
    <w:rsid w:val="00A56193"/>
    <w:rsid w:val="00A6091C"/>
    <w:rsid w:val="00A62546"/>
    <w:rsid w:val="00A65D51"/>
    <w:rsid w:val="00A666DE"/>
    <w:rsid w:val="00A73F93"/>
    <w:rsid w:val="00A7459D"/>
    <w:rsid w:val="00A74C8A"/>
    <w:rsid w:val="00A77A02"/>
    <w:rsid w:val="00A77DF4"/>
    <w:rsid w:val="00A8104F"/>
    <w:rsid w:val="00A81377"/>
    <w:rsid w:val="00A8534C"/>
    <w:rsid w:val="00A86538"/>
    <w:rsid w:val="00A96F0C"/>
    <w:rsid w:val="00AA05C8"/>
    <w:rsid w:val="00AA1A1E"/>
    <w:rsid w:val="00AA3CA4"/>
    <w:rsid w:val="00AB1CE0"/>
    <w:rsid w:val="00AC5DD7"/>
    <w:rsid w:val="00AC673F"/>
    <w:rsid w:val="00AC7BEC"/>
    <w:rsid w:val="00AD625B"/>
    <w:rsid w:val="00AE4452"/>
    <w:rsid w:val="00AE7E1C"/>
    <w:rsid w:val="00AF3014"/>
    <w:rsid w:val="00AF4EDA"/>
    <w:rsid w:val="00B02CCC"/>
    <w:rsid w:val="00B03915"/>
    <w:rsid w:val="00B1098D"/>
    <w:rsid w:val="00B15881"/>
    <w:rsid w:val="00B17305"/>
    <w:rsid w:val="00B1779B"/>
    <w:rsid w:val="00B25D8B"/>
    <w:rsid w:val="00B3350D"/>
    <w:rsid w:val="00B63011"/>
    <w:rsid w:val="00B63341"/>
    <w:rsid w:val="00B633EF"/>
    <w:rsid w:val="00B63E40"/>
    <w:rsid w:val="00B64F7E"/>
    <w:rsid w:val="00B73E5D"/>
    <w:rsid w:val="00B84C77"/>
    <w:rsid w:val="00BA6D5B"/>
    <w:rsid w:val="00BB24DE"/>
    <w:rsid w:val="00BB2B22"/>
    <w:rsid w:val="00BC6373"/>
    <w:rsid w:val="00BC6BC0"/>
    <w:rsid w:val="00BD034A"/>
    <w:rsid w:val="00BD199D"/>
    <w:rsid w:val="00BD284D"/>
    <w:rsid w:val="00BD59BA"/>
    <w:rsid w:val="00BD7DF7"/>
    <w:rsid w:val="00BE31CA"/>
    <w:rsid w:val="00BE3228"/>
    <w:rsid w:val="00BE6614"/>
    <w:rsid w:val="00BF2640"/>
    <w:rsid w:val="00C05C2A"/>
    <w:rsid w:val="00C147AD"/>
    <w:rsid w:val="00C27FB0"/>
    <w:rsid w:val="00C317C3"/>
    <w:rsid w:val="00C3233E"/>
    <w:rsid w:val="00C349A5"/>
    <w:rsid w:val="00C34E0D"/>
    <w:rsid w:val="00C433DD"/>
    <w:rsid w:val="00C44F99"/>
    <w:rsid w:val="00C53E9B"/>
    <w:rsid w:val="00C548D8"/>
    <w:rsid w:val="00C7033C"/>
    <w:rsid w:val="00C7452C"/>
    <w:rsid w:val="00C778F8"/>
    <w:rsid w:val="00C90465"/>
    <w:rsid w:val="00C95522"/>
    <w:rsid w:val="00CA1C5D"/>
    <w:rsid w:val="00CA31BA"/>
    <w:rsid w:val="00CB6F71"/>
    <w:rsid w:val="00CC0661"/>
    <w:rsid w:val="00CC1769"/>
    <w:rsid w:val="00CC2D3C"/>
    <w:rsid w:val="00CD0953"/>
    <w:rsid w:val="00CD364F"/>
    <w:rsid w:val="00CD7963"/>
    <w:rsid w:val="00CE07AE"/>
    <w:rsid w:val="00CE0936"/>
    <w:rsid w:val="00CE0A7C"/>
    <w:rsid w:val="00CE40FE"/>
    <w:rsid w:val="00CF20B7"/>
    <w:rsid w:val="00D10247"/>
    <w:rsid w:val="00D120BB"/>
    <w:rsid w:val="00D20B50"/>
    <w:rsid w:val="00D23195"/>
    <w:rsid w:val="00D25392"/>
    <w:rsid w:val="00D34F96"/>
    <w:rsid w:val="00D35562"/>
    <w:rsid w:val="00D36A41"/>
    <w:rsid w:val="00D40E96"/>
    <w:rsid w:val="00D413BC"/>
    <w:rsid w:val="00D441BA"/>
    <w:rsid w:val="00D50719"/>
    <w:rsid w:val="00D55415"/>
    <w:rsid w:val="00D617D1"/>
    <w:rsid w:val="00D621B7"/>
    <w:rsid w:val="00D65C91"/>
    <w:rsid w:val="00D667BC"/>
    <w:rsid w:val="00D7195D"/>
    <w:rsid w:val="00D71977"/>
    <w:rsid w:val="00D86CCD"/>
    <w:rsid w:val="00D93A27"/>
    <w:rsid w:val="00D9689A"/>
    <w:rsid w:val="00DA0A91"/>
    <w:rsid w:val="00DA104A"/>
    <w:rsid w:val="00DA298B"/>
    <w:rsid w:val="00DA5D1E"/>
    <w:rsid w:val="00DA5FF8"/>
    <w:rsid w:val="00DA666E"/>
    <w:rsid w:val="00DB23CE"/>
    <w:rsid w:val="00DB3334"/>
    <w:rsid w:val="00DB3B14"/>
    <w:rsid w:val="00DB4F7E"/>
    <w:rsid w:val="00DB7871"/>
    <w:rsid w:val="00DC1FEA"/>
    <w:rsid w:val="00DC4299"/>
    <w:rsid w:val="00DD1845"/>
    <w:rsid w:val="00DD1B7B"/>
    <w:rsid w:val="00DD2934"/>
    <w:rsid w:val="00DD2E31"/>
    <w:rsid w:val="00DD4575"/>
    <w:rsid w:val="00DD5576"/>
    <w:rsid w:val="00DE01BF"/>
    <w:rsid w:val="00DE7AA6"/>
    <w:rsid w:val="00DF25C8"/>
    <w:rsid w:val="00DF5139"/>
    <w:rsid w:val="00DF5533"/>
    <w:rsid w:val="00DF5648"/>
    <w:rsid w:val="00E02F6E"/>
    <w:rsid w:val="00E03A30"/>
    <w:rsid w:val="00E053ED"/>
    <w:rsid w:val="00E05EB7"/>
    <w:rsid w:val="00E12D49"/>
    <w:rsid w:val="00E160BA"/>
    <w:rsid w:val="00E22A8D"/>
    <w:rsid w:val="00E24B1A"/>
    <w:rsid w:val="00E24C27"/>
    <w:rsid w:val="00E26101"/>
    <w:rsid w:val="00E26ADB"/>
    <w:rsid w:val="00E47B4C"/>
    <w:rsid w:val="00E47E26"/>
    <w:rsid w:val="00E55553"/>
    <w:rsid w:val="00E55950"/>
    <w:rsid w:val="00E56177"/>
    <w:rsid w:val="00E570D9"/>
    <w:rsid w:val="00E6221D"/>
    <w:rsid w:val="00E62354"/>
    <w:rsid w:val="00E63651"/>
    <w:rsid w:val="00E656E5"/>
    <w:rsid w:val="00E66856"/>
    <w:rsid w:val="00E725FC"/>
    <w:rsid w:val="00E73D90"/>
    <w:rsid w:val="00E76B64"/>
    <w:rsid w:val="00E806A6"/>
    <w:rsid w:val="00E908BB"/>
    <w:rsid w:val="00E9466E"/>
    <w:rsid w:val="00E95E26"/>
    <w:rsid w:val="00E95EE1"/>
    <w:rsid w:val="00EB67A7"/>
    <w:rsid w:val="00EB7573"/>
    <w:rsid w:val="00EC1645"/>
    <w:rsid w:val="00EC708F"/>
    <w:rsid w:val="00EC7B08"/>
    <w:rsid w:val="00ED0139"/>
    <w:rsid w:val="00ED04B3"/>
    <w:rsid w:val="00ED6BDC"/>
    <w:rsid w:val="00EF45C3"/>
    <w:rsid w:val="00EF6C78"/>
    <w:rsid w:val="00F02A21"/>
    <w:rsid w:val="00F034AB"/>
    <w:rsid w:val="00F11F6B"/>
    <w:rsid w:val="00F16FC9"/>
    <w:rsid w:val="00F1739E"/>
    <w:rsid w:val="00F17CC0"/>
    <w:rsid w:val="00F21252"/>
    <w:rsid w:val="00F233FC"/>
    <w:rsid w:val="00F2474D"/>
    <w:rsid w:val="00F32775"/>
    <w:rsid w:val="00F4015C"/>
    <w:rsid w:val="00F41758"/>
    <w:rsid w:val="00F41A12"/>
    <w:rsid w:val="00F462A9"/>
    <w:rsid w:val="00F51186"/>
    <w:rsid w:val="00F56B2F"/>
    <w:rsid w:val="00F602D7"/>
    <w:rsid w:val="00F62B76"/>
    <w:rsid w:val="00F65363"/>
    <w:rsid w:val="00F65EC9"/>
    <w:rsid w:val="00F721A0"/>
    <w:rsid w:val="00F83850"/>
    <w:rsid w:val="00F86702"/>
    <w:rsid w:val="00F91830"/>
    <w:rsid w:val="00F91A51"/>
    <w:rsid w:val="00F93155"/>
    <w:rsid w:val="00FA592D"/>
    <w:rsid w:val="00FA74A2"/>
    <w:rsid w:val="00FA7A57"/>
    <w:rsid w:val="00FB11A5"/>
    <w:rsid w:val="00FB1EA8"/>
    <w:rsid w:val="00FB27D2"/>
    <w:rsid w:val="00FB7885"/>
    <w:rsid w:val="00FC30EC"/>
    <w:rsid w:val="00FC5E44"/>
    <w:rsid w:val="00FC7692"/>
    <w:rsid w:val="00FD0A3D"/>
    <w:rsid w:val="00FD41C5"/>
    <w:rsid w:val="00FE0EF6"/>
    <w:rsid w:val="00FE3B1B"/>
    <w:rsid w:val="00FE5909"/>
    <w:rsid w:val="00FE59BB"/>
    <w:rsid w:val="00FF011C"/>
    <w:rsid w:val="00FF0879"/>
    <w:rsid w:val="00FF6463"/>
    <w:rsid w:val="00FF671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01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01DD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42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28B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A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131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31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31B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1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31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B1EA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8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7E1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8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7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01D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101DD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428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28B2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A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131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131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31B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1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31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FB1EA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8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7E1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8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7E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58B-7207-4F22-8556-046A5E6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Акерке Кулшанова</dc:creator>
  <cp:lastModifiedBy>Жандос Пирниязов</cp:lastModifiedBy>
  <cp:revision>131</cp:revision>
  <cp:lastPrinted>2019-06-06T11:05:00Z</cp:lastPrinted>
  <dcterms:created xsi:type="dcterms:W3CDTF">2019-06-07T03:36:00Z</dcterms:created>
  <dcterms:modified xsi:type="dcterms:W3CDTF">2019-07-01T04:25:00Z</dcterms:modified>
</cp:coreProperties>
</file>