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8"/>
          <w:szCs w:val="28"/>
        </w:rPr>
        <w:id w:val="-684586706"/>
        <w:docPartObj>
          <w:docPartGallery w:val="Cover Pages"/>
          <w:docPartUnique/>
        </w:docPartObj>
      </w:sdtPr>
      <w:sdtEndPr>
        <w:rPr>
          <w:b/>
          <w:caps/>
          <w:spacing w:val="20"/>
          <w:lang w:eastAsia="it-IT"/>
        </w:rPr>
      </w:sdtEndPr>
      <w:sdtContent>
        <w:p w:rsidR="00A752CD" w:rsidRPr="00E97068" w:rsidRDefault="00A752CD">
          <w:pPr>
            <w:rPr>
              <w:rFonts w:ascii="Times New Roman" w:hAnsi="Times New Roman"/>
              <w:sz w:val="28"/>
              <w:szCs w:val="28"/>
            </w:rPr>
          </w:pPr>
        </w:p>
        <w:p w:rsidR="00A752CD" w:rsidRPr="00E97068" w:rsidRDefault="00A752CD">
          <w:pPr>
            <w:rPr>
              <w:rFonts w:ascii="Times New Roman" w:hAnsi="Times New Roman"/>
              <w:sz w:val="28"/>
              <w:szCs w:val="28"/>
            </w:rPr>
          </w:pPr>
        </w:p>
        <w:p w:rsidR="00424501" w:rsidRPr="00E97068" w:rsidRDefault="00424501" w:rsidP="00424501">
          <w:pPr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sz w:val="28"/>
              <w:szCs w:val="28"/>
              <w:lang w:val="kk-KZ"/>
            </w:rPr>
            <w:t>ҚАЗАҚСТАННЫҢ ДЕПОЗИТТЕРГЕ КЕПІЛДІК БЕРУ ҚОРЫ</w:t>
          </w:r>
        </w:p>
        <w:p w:rsidR="00424501" w:rsidRPr="00E97068" w:rsidRDefault="00424501" w:rsidP="00424501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</w:p>
        <w:p w:rsidR="00424501" w:rsidRPr="00E97068" w:rsidRDefault="00424501" w:rsidP="00424501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</w:p>
        <w:p w:rsidR="00424501" w:rsidRPr="00E97068" w:rsidRDefault="00424501" w:rsidP="00424501">
          <w:pPr>
            <w:jc w:val="center"/>
            <w:rPr>
              <w:rFonts w:ascii="Times New Roman" w:hAnsi="Times New Roman"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sz w:val="28"/>
              <w:szCs w:val="28"/>
              <w:lang w:val="kk-KZ"/>
            </w:rPr>
            <w:t>Жарналардың дифференциалды  мөлшерлемелерін есептеу және методологиясы департаменті</w:t>
          </w:r>
        </w:p>
        <w:p w:rsidR="00424501" w:rsidRPr="00E97068" w:rsidRDefault="00424501" w:rsidP="00424501">
          <w:pPr>
            <w:rPr>
              <w:rFonts w:ascii="Times New Roman" w:hAnsi="Times New Roman"/>
              <w:sz w:val="28"/>
              <w:szCs w:val="28"/>
            </w:rPr>
          </w:pPr>
        </w:p>
        <w:p w:rsidR="00A752CD" w:rsidRPr="00E97068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E97068" w:rsidRDefault="00E97068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E97068" w:rsidRPr="00E97068" w:rsidRDefault="00E97068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val="kk-KZ" w:eastAsia="it-IT"/>
            </w:rPr>
          </w:pPr>
        </w:p>
        <w:p w:rsidR="00A752CD" w:rsidRPr="00E97068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E97068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E97068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E97068" w:rsidRDefault="00A752CD" w:rsidP="00A752CD">
          <w:pPr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424501" w:rsidRPr="00E97068" w:rsidRDefault="00424501" w:rsidP="00424501">
          <w:pPr>
            <w:jc w:val="center"/>
            <w:rPr>
              <w:rFonts w:ascii="Times New Roman" w:hAnsi="Times New Roman"/>
              <w:b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>201</w:t>
          </w:r>
          <w:r w:rsidRPr="0056654F">
            <w:rPr>
              <w:rFonts w:ascii="Times New Roman" w:hAnsi="Times New Roman"/>
              <w:b/>
              <w:sz w:val="28"/>
              <w:szCs w:val="28"/>
            </w:rPr>
            <w:t>4</w:t>
          </w: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 xml:space="preserve"> ж. </w:t>
          </w:r>
          <w:r w:rsidRPr="0056654F">
            <w:rPr>
              <w:rFonts w:ascii="Times New Roman" w:hAnsi="Times New Roman"/>
              <w:b/>
              <w:sz w:val="28"/>
              <w:szCs w:val="28"/>
            </w:rPr>
            <w:t>1</w:t>
          </w:r>
          <w:r w:rsidRPr="00E97068">
            <w:rPr>
              <w:rFonts w:ascii="Times New Roman" w:hAnsi="Times New Roman"/>
              <w:b/>
              <w:sz w:val="28"/>
              <w:szCs w:val="28"/>
              <w:lang w:val="kk-KZ"/>
            </w:rPr>
            <w:t>-тоқсанындағы</w:t>
          </w:r>
        </w:p>
        <w:p w:rsidR="00424501" w:rsidRPr="00E97068" w:rsidRDefault="00424501" w:rsidP="00424501">
          <w:pPr>
            <w:jc w:val="center"/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  <w:t>Жеке тұлғалардың депозиттерІ нарығына</w:t>
          </w:r>
        </w:p>
        <w:p w:rsidR="00424501" w:rsidRPr="00E97068" w:rsidRDefault="00424501" w:rsidP="00424501">
          <w:pPr>
            <w:jc w:val="center"/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</w:pPr>
          <w:r w:rsidRPr="00E97068">
            <w:rPr>
              <w:rFonts w:ascii="Times New Roman" w:hAnsi="Times New Roman"/>
              <w:b/>
              <w:caps/>
              <w:sz w:val="28"/>
              <w:szCs w:val="28"/>
              <w:lang w:val="kk-KZ"/>
            </w:rPr>
            <w:t>қысқаша ақпараттық шолу</w:t>
          </w:r>
        </w:p>
        <w:p w:rsidR="00A752CD" w:rsidRPr="00E97068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Default="00A752CD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E97068" w:rsidRDefault="00E97068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E97068" w:rsidRDefault="00E97068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E97068" w:rsidRPr="00E97068" w:rsidRDefault="00E97068">
          <w:pPr>
            <w:rPr>
              <w:rFonts w:ascii="Times New Roman" w:hAnsi="Times New Roman"/>
              <w:sz w:val="28"/>
              <w:szCs w:val="28"/>
              <w:lang w:val="kk-KZ"/>
            </w:rPr>
          </w:pPr>
        </w:p>
        <w:p w:rsidR="00A752CD" w:rsidRPr="00E97068" w:rsidRDefault="002B42A5" w:rsidP="00A752CD">
          <w:pPr>
            <w:rPr>
              <w:rFonts w:ascii="Times New Roman" w:hAnsi="Times New Roman"/>
              <w:b/>
              <w:caps/>
              <w:spacing w:val="20"/>
              <w:sz w:val="28"/>
              <w:szCs w:val="28"/>
              <w:lang w:eastAsia="it-IT"/>
            </w:rPr>
          </w:pPr>
        </w:p>
      </w:sdtContent>
    </w:sdt>
    <w:p w:rsidR="003F4014" w:rsidRPr="00E97068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Pr="00E97068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54309D" w:rsidRPr="00E97068" w:rsidRDefault="0054309D" w:rsidP="0054309D">
      <w:pPr>
        <w:pStyle w:val="a3"/>
        <w:spacing w:after="60" w:line="21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97068">
        <w:rPr>
          <w:rFonts w:ascii="Times New Roman" w:eastAsia="Times New Roman" w:hAnsi="Times New Roman"/>
          <w:b/>
          <w:sz w:val="24"/>
          <w:szCs w:val="24"/>
          <w:lang w:val="kk-KZ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 Жеке тұлғалардың депозиттер нарығының тенденциясына шолу</w:t>
      </w:r>
    </w:p>
    <w:p w:rsidR="00B93445" w:rsidRPr="00E97068" w:rsidRDefault="00961E16" w:rsidP="00B93445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it-IT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Депозиттерге кепілдік беру жүйесіне қатысушы банктердегі жеке тұлғалардың депозиттері </w:t>
      </w:r>
      <w:r w:rsidR="00541B65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4,1 трлн. теңгеге жетті, </w:t>
      </w:r>
      <w:r w:rsidR="00D36CE1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оның ішінде </w:t>
      </w:r>
      <w:r w:rsidR="00541B65" w:rsidRPr="00E97068">
        <w:rPr>
          <w:rFonts w:ascii="Times New Roman" w:eastAsia="SimSun" w:hAnsi="Times New Roman"/>
          <w:sz w:val="24"/>
          <w:szCs w:val="24"/>
          <w:lang w:val="kk-KZ"/>
        </w:rPr>
        <w:t>депозиттік қоржын</w:t>
      </w:r>
      <w:r w:rsidR="000B1930" w:rsidRPr="00E97068">
        <w:rPr>
          <w:rFonts w:ascii="Times New Roman" w:eastAsia="SimSun" w:hAnsi="Times New Roman"/>
          <w:sz w:val="24"/>
          <w:szCs w:val="24"/>
          <w:lang w:val="kk-KZ"/>
        </w:rPr>
        <w:t>н</w:t>
      </w:r>
      <w:r w:rsidR="00541B65" w:rsidRPr="00E97068">
        <w:rPr>
          <w:rFonts w:ascii="Times New Roman" w:eastAsia="SimSun" w:hAnsi="Times New Roman"/>
          <w:sz w:val="24"/>
          <w:szCs w:val="24"/>
          <w:lang w:val="kk-KZ"/>
        </w:rPr>
        <w:t>ы</w:t>
      </w:r>
      <w:r w:rsidR="000B1930" w:rsidRPr="00E97068">
        <w:rPr>
          <w:rFonts w:ascii="Times New Roman" w:eastAsia="SimSun" w:hAnsi="Times New Roman"/>
          <w:sz w:val="24"/>
          <w:szCs w:val="24"/>
          <w:lang w:val="kk-KZ"/>
        </w:rPr>
        <w:t>ң 1 тоқсанда</w:t>
      </w:r>
      <w:r w:rsidR="00D36CE1" w:rsidRPr="00E97068">
        <w:rPr>
          <w:rFonts w:ascii="Times New Roman" w:eastAsia="SimSun" w:hAnsi="Times New Roman"/>
          <w:sz w:val="24"/>
          <w:szCs w:val="24"/>
          <w:lang w:val="kk-KZ"/>
        </w:rPr>
        <w:t>ғ</w:t>
      </w:r>
      <w:r w:rsidR="000B1930" w:rsidRPr="00E97068">
        <w:rPr>
          <w:rFonts w:ascii="Times New Roman" w:eastAsia="SimSun" w:hAnsi="Times New Roman"/>
          <w:sz w:val="24"/>
          <w:szCs w:val="24"/>
          <w:lang w:val="kk-KZ"/>
        </w:rPr>
        <w:t>ы өсімі 186,1 м</w:t>
      </w:r>
      <w:r w:rsidR="00541B65" w:rsidRPr="00E97068">
        <w:rPr>
          <w:rFonts w:ascii="Times New Roman" w:eastAsia="SimSun" w:hAnsi="Times New Roman"/>
          <w:sz w:val="24"/>
          <w:szCs w:val="24"/>
          <w:lang w:val="kk-KZ"/>
        </w:rPr>
        <w:t>л</w:t>
      </w:r>
      <w:r w:rsidR="000B1930" w:rsidRPr="00E97068">
        <w:rPr>
          <w:rFonts w:ascii="Times New Roman" w:eastAsia="SimSun" w:hAnsi="Times New Roman"/>
          <w:sz w:val="24"/>
          <w:szCs w:val="24"/>
          <w:lang w:val="kk-KZ"/>
        </w:rPr>
        <w:t>рд</w:t>
      </w:r>
      <w:r w:rsidR="00541B65" w:rsidRPr="00E97068">
        <w:rPr>
          <w:rFonts w:ascii="Times New Roman" w:eastAsia="SimSun" w:hAnsi="Times New Roman"/>
          <w:sz w:val="24"/>
          <w:szCs w:val="24"/>
          <w:lang w:val="kk-KZ"/>
        </w:rPr>
        <w:t>.</w:t>
      </w:r>
      <w:r w:rsidR="000B1930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541B65" w:rsidRPr="00E97068">
        <w:rPr>
          <w:rFonts w:ascii="Times New Roman" w:eastAsia="SimSun" w:hAnsi="Times New Roman"/>
          <w:sz w:val="24"/>
          <w:szCs w:val="24"/>
          <w:lang w:val="kk-KZ"/>
        </w:rPr>
        <w:t>теңге</w:t>
      </w:r>
      <w:r w:rsidR="000B1930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ні немесе 4,7% құрайды. </w:t>
      </w:r>
      <w:r w:rsidR="007F5B5E" w:rsidRPr="00E97068">
        <w:rPr>
          <w:rFonts w:ascii="Times New Roman" w:eastAsia="SimSun" w:hAnsi="Times New Roman"/>
          <w:sz w:val="24"/>
          <w:szCs w:val="24"/>
          <w:lang w:val="kk-KZ"/>
        </w:rPr>
        <w:t>Теңгенің АҚШ долларына шаққандағы құнының төменде</w:t>
      </w:r>
      <w:r w:rsidR="00717CAA" w:rsidRPr="00E97068">
        <w:rPr>
          <w:rFonts w:ascii="Times New Roman" w:eastAsia="SimSun" w:hAnsi="Times New Roman"/>
          <w:sz w:val="24"/>
          <w:szCs w:val="24"/>
          <w:lang w:val="kk-KZ"/>
        </w:rPr>
        <w:t xml:space="preserve">уі </w:t>
      </w:r>
      <w:r w:rsidR="00BF2F19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ағымдағы жылдың бірінші тоқсанындағы </w:t>
      </w:r>
      <w:r w:rsidR="00717CAA" w:rsidRPr="00E97068">
        <w:rPr>
          <w:rFonts w:ascii="Times New Roman" w:eastAsia="SimSun" w:hAnsi="Times New Roman"/>
          <w:sz w:val="24"/>
          <w:szCs w:val="24"/>
          <w:lang w:val="kk-KZ"/>
        </w:rPr>
        <w:t xml:space="preserve">халықтың теңгемен салынған салымдарының шетел валютасымен салынған депозиттерге </w:t>
      </w:r>
      <w:r w:rsidR="00BF2F19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ауысуына әкелді, яғни  </w:t>
      </w:r>
      <w:r w:rsidR="00717CAA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BF2F19" w:rsidRPr="00E97068">
        <w:rPr>
          <w:rFonts w:ascii="Times New Roman" w:eastAsia="SimSun" w:hAnsi="Times New Roman"/>
          <w:sz w:val="24"/>
          <w:szCs w:val="24"/>
          <w:lang w:val="kk-KZ"/>
        </w:rPr>
        <w:t>ұлттық валюта бойынша салым</w:t>
      </w:r>
      <w:r w:rsidR="00384548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ның </w:t>
      </w:r>
      <w:r w:rsidR="006B687C" w:rsidRPr="00E97068">
        <w:rPr>
          <w:rFonts w:ascii="Times New Roman" w:eastAsia="SimSun" w:hAnsi="Times New Roman"/>
          <w:sz w:val="24"/>
          <w:szCs w:val="24"/>
          <w:lang w:val="kk-KZ"/>
        </w:rPr>
        <w:t>кемуі 324,5 млрд., немесе (-14,7%)</w:t>
      </w:r>
      <w:r w:rsidR="00B93445" w:rsidRPr="00E97068">
        <w:rPr>
          <w:rFonts w:ascii="Times New Roman" w:eastAsia="SimSun" w:hAnsi="Times New Roman"/>
          <w:sz w:val="24"/>
          <w:szCs w:val="24"/>
          <w:lang w:val="kk-KZ"/>
        </w:rPr>
        <w:t>, а</w:t>
      </w:r>
      <w:r w:rsidR="006B687C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л шетел валютасы бойынша </w:t>
      </w:r>
      <w:r w:rsidR="00B93445" w:rsidRPr="00E97068">
        <w:rPr>
          <w:rFonts w:ascii="Times New Roman" w:eastAsia="SimSun" w:hAnsi="Times New Roman"/>
          <w:sz w:val="24"/>
          <w:szCs w:val="24"/>
          <w:lang w:val="kk-KZ"/>
        </w:rPr>
        <w:t>деп</w:t>
      </w:r>
      <w:r w:rsidR="008515CA" w:rsidRPr="00E97068">
        <w:rPr>
          <w:rFonts w:ascii="Times New Roman" w:eastAsia="SimSun" w:hAnsi="Times New Roman"/>
          <w:sz w:val="24"/>
          <w:szCs w:val="24"/>
          <w:lang w:val="kk-KZ"/>
        </w:rPr>
        <w:t>о</w:t>
      </w:r>
      <w:r w:rsidR="00B93445" w:rsidRPr="00E97068">
        <w:rPr>
          <w:rFonts w:ascii="Times New Roman" w:eastAsia="SimSun" w:hAnsi="Times New Roman"/>
          <w:sz w:val="24"/>
          <w:szCs w:val="24"/>
          <w:lang w:val="kk-KZ"/>
        </w:rPr>
        <w:t>зит өсімі 510,6 млрд. немесе 29,4</w:t>
      </w:r>
      <w:r w:rsidR="00B93445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% құрады </w:t>
      </w:r>
      <w:r w:rsidR="00B93445" w:rsidRPr="00E97068">
        <w:rPr>
          <w:rFonts w:ascii="Times New Roman" w:eastAsia="Times New Roman" w:hAnsi="Times New Roman"/>
          <w:i/>
          <w:sz w:val="24"/>
          <w:szCs w:val="24"/>
          <w:lang w:val="kk-KZ" w:eastAsia="it-IT"/>
        </w:rPr>
        <w:t>(</w:t>
      </w:r>
      <w:r w:rsidR="00D36CE1" w:rsidRPr="00E97068">
        <w:rPr>
          <w:rFonts w:ascii="Times New Roman" w:eastAsia="Times New Roman" w:hAnsi="Times New Roman"/>
          <w:i/>
          <w:sz w:val="24"/>
          <w:szCs w:val="24"/>
          <w:lang w:val="kk-KZ" w:eastAsia="it-IT"/>
        </w:rPr>
        <w:t xml:space="preserve">1 </w:t>
      </w:r>
      <w:r w:rsidR="00B93445" w:rsidRPr="00E97068">
        <w:rPr>
          <w:rFonts w:ascii="Times New Roman" w:eastAsia="Times New Roman" w:hAnsi="Times New Roman"/>
          <w:i/>
          <w:sz w:val="24"/>
          <w:szCs w:val="24"/>
          <w:lang w:val="kk-KZ" w:eastAsia="it-IT"/>
        </w:rPr>
        <w:t>диаграмм</w:t>
      </w:r>
      <w:r w:rsidR="00D36CE1" w:rsidRPr="00E97068">
        <w:rPr>
          <w:rFonts w:ascii="Times New Roman" w:eastAsia="Times New Roman" w:hAnsi="Times New Roman"/>
          <w:i/>
          <w:sz w:val="24"/>
          <w:szCs w:val="24"/>
          <w:lang w:val="kk-KZ" w:eastAsia="it-IT"/>
        </w:rPr>
        <w:t>аны қараңыз</w:t>
      </w:r>
      <w:r w:rsidR="00B93445" w:rsidRPr="00E97068">
        <w:rPr>
          <w:rFonts w:ascii="Times New Roman" w:eastAsia="Times New Roman" w:hAnsi="Times New Roman"/>
          <w:i/>
          <w:sz w:val="24"/>
          <w:szCs w:val="24"/>
          <w:lang w:val="kk-KZ" w:eastAsia="it-IT"/>
        </w:rPr>
        <w:t>).</w:t>
      </w:r>
    </w:p>
    <w:p w:rsidR="00A752CD" w:rsidRPr="0056654F" w:rsidRDefault="00A752CD" w:rsidP="00A752C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it-IT"/>
        </w:rPr>
      </w:pPr>
    </w:p>
    <w:p w:rsidR="00A752CD" w:rsidRPr="00E97068" w:rsidRDefault="00A752CD" w:rsidP="001520AC">
      <w:pPr>
        <w:pStyle w:val="a4"/>
        <w:spacing w:line="276" w:lineRule="auto"/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1520AC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Диаграмма 1.</w:t>
      </w:r>
      <w:r w:rsidR="002A6B35" w:rsidRPr="001520AC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 Т</w:t>
      </w:r>
      <w:r w:rsidR="002A6B35" w:rsidRPr="001520AC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еңге және шетел валютасымен салынған  депозиттер өзгерісінің динамикасы </w:t>
      </w:r>
      <w:r w:rsidR="002A6B35" w:rsidRPr="001520AC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( %</w:t>
      </w:r>
      <w:r w:rsidR="001520AC" w:rsidRPr="001520AC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 xml:space="preserve"> бойынша</w:t>
      </w:r>
      <w:r w:rsidR="002A6B35" w:rsidRPr="001520AC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)</w:t>
      </w:r>
    </w:p>
    <w:p w:rsidR="00A752CD" w:rsidRPr="00E97068" w:rsidRDefault="00A752CD" w:rsidP="00A752CD">
      <w:pPr>
        <w:pStyle w:val="a4"/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kk-KZ" w:eastAsia="ru-RU"/>
        </w:rPr>
      </w:pPr>
    </w:p>
    <w:p w:rsidR="00A752CD" w:rsidRPr="0056654F" w:rsidRDefault="002143B9" w:rsidP="00A752CD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val="kk-KZ" w:eastAsia="it-IT"/>
        </w:rPr>
      </w:pPr>
      <w:r w:rsidRPr="00E97D0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954BF" wp14:editId="6E751C52">
                <wp:simplePos x="0" y="0"/>
                <wp:positionH relativeFrom="column">
                  <wp:posOffset>3082290</wp:posOffset>
                </wp:positionH>
                <wp:positionV relativeFrom="paragraph">
                  <wp:posOffset>408939</wp:posOffset>
                </wp:positionV>
                <wp:extent cx="1438275" cy="2571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0F" w:rsidRPr="00E97D0F" w:rsidRDefault="0030268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ш</w:t>
                            </w:r>
                            <w:r w:rsidR="00E97D0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етел валютасымен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2.7pt;margin-top:32.2pt;width:11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" stroked="f">
                <v:textbox>
                  <w:txbxContent>
                    <w:p w:rsidR="00E97D0F" w:rsidRPr="00E97D0F" w:rsidRDefault="0030268F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ш</w:t>
                      </w:r>
                      <w:r w:rsidR="00E97D0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етел валютасымен</w:t>
                      </w:r>
                    </w:p>
                  </w:txbxContent>
                </v:textbox>
              </v:shape>
            </w:pict>
          </mc:Fallback>
        </mc:AlternateContent>
      </w:r>
      <w:r w:rsidRPr="002C363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D771" wp14:editId="393CEBE8">
                <wp:simplePos x="0" y="0"/>
                <wp:positionH relativeFrom="column">
                  <wp:posOffset>3082290</wp:posOffset>
                </wp:positionH>
                <wp:positionV relativeFrom="paragraph">
                  <wp:posOffset>218440</wp:posOffset>
                </wp:positionV>
                <wp:extent cx="809625" cy="25717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31" w:rsidRPr="002C3631" w:rsidRDefault="0030268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т</w:t>
                            </w:r>
                            <w:r w:rsidR="002C3631" w:rsidRPr="002C363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е</w:t>
                            </w:r>
                            <w:r w:rsidR="00E97D0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ң</w:t>
                            </w:r>
                            <w:r w:rsidR="002C3631" w:rsidRPr="002C363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геме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2.7pt;margin-top:17.2pt;width:63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" stroked="f">
                <v:textbox>
                  <w:txbxContent>
                    <w:p w:rsidR="002C3631" w:rsidRPr="002C3631" w:rsidRDefault="0030268F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т</w:t>
                      </w:r>
                      <w:r w:rsidR="002C3631" w:rsidRPr="002C3631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е</w:t>
                      </w:r>
                      <w:r w:rsidR="00E97D0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ң</w:t>
                      </w:r>
                      <w:r w:rsidR="002C3631" w:rsidRPr="002C3631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геме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="00016215" w:rsidRPr="001520AC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05A9" wp14:editId="4D6D1131">
                <wp:simplePos x="0" y="0"/>
                <wp:positionH relativeFrom="column">
                  <wp:posOffset>3082290</wp:posOffset>
                </wp:positionH>
                <wp:positionV relativeFrom="paragraph">
                  <wp:posOffset>8890</wp:posOffset>
                </wp:positionV>
                <wp:extent cx="1343025" cy="2667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0AC" w:rsidRDefault="001520AC">
                            <w:r w:rsidRPr="001520A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 xml:space="preserve">Барлық </w:t>
                            </w:r>
                            <w:r w:rsidRPr="004B202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депозиттер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2.7pt;margin-top:.7pt;width:10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" stroked="f">
                <v:textbox>
                  <w:txbxContent>
                    <w:p w:rsidR="001520AC" w:rsidRDefault="001520AC">
                      <w:r w:rsidRPr="001520AC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 xml:space="preserve">Барлық </w:t>
                      </w:r>
                      <w:r w:rsidRPr="004B2027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депозиттер</w:t>
                      </w:r>
                    </w:p>
                  </w:txbxContent>
                </v:textbox>
              </v:shape>
            </w:pict>
          </mc:Fallback>
        </mc:AlternateContent>
      </w:r>
      <w:r w:rsidR="00A752CD" w:rsidRPr="00E9706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23946F" wp14:editId="22025931">
            <wp:extent cx="6153150" cy="2486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 </w:t>
      </w:r>
    </w:p>
    <w:p w:rsidR="00A752CD" w:rsidRPr="0056654F" w:rsidRDefault="008515CA" w:rsidP="00A752C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it-IT"/>
        </w:rPr>
      </w:pP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Бұл тоқсанның тағы бір ерекшелігі </w:t>
      </w:r>
      <w:r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>–</w:t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бұл үш </w:t>
      </w:r>
      <w:r w:rsidR="00B558EA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қатысушы</w:t>
      </w:r>
      <w:r w:rsidR="00A203E8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 w:rsidR="00B558EA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банктерге жасалған </w:t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SMS-</w:t>
      </w:r>
      <w:r w:rsidR="00B558EA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шабуылдар</w:t>
      </w:r>
      <w:r w:rsidR="00877577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 w:rsidR="00B558EA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  <w:r w:rsidR="00877577" w:rsidRPr="00E970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депозиттердің</w:t>
      </w:r>
      <w:r w:rsidR="00877577" w:rsidRPr="0056654F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 </w:t>
      </w:r>
      <w:r w:rsidR="00A752CD" w:rsidRPr="0056654F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Альянс Банк</w:t>
      </w:r>
      <w:r w:rsidR="00877577" w:rsidRPr="00E97068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те</w:t>
      </w:r>
      <w:r w:rsidR="00A752CD" w:rsidRPr="0056654F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 </w:t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>31,1%</w:t>
      </w:r>
      <w:r w:rsidR="00877577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-ке</w:t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, </w:t>
      </w:r>
      <w:r w:rsidR="00A752CD" w:rsidRPr="0056654F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БЦК</w:t>
      </w:r>
      <w:r w:rsidR="00877577" w:rsidRPr="00E97068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-да</w:t>
      </w:r>
      <w:r w:rsidR="00A752CD" w:rsidRPr="0056654F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 </w:t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12,7%</w:t>
      </w:r>
      <w:r w:rsidR="003A48FD"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-ке</w:t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, </w:t>
      </w:r>
      <w:r w:rsidR="00A752CD" w:rsidRPr="0056654F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>Kaspi Bank</w:t>
      </w:r>
      <w:r w:rsidR="00877577" w:rsidRPr="00E97068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>те</w:t>
      </w:r>
      <w:r w:rsidR="00A752CD" w:rsidRPr="0056654F">
        <w:rPr>
          <w:rFonts w:ascii="Times New Roman" w:eastAsia="Times New Roman" w:hAnsi="Times New Roman"/>
          <w:b/>
          <w:i/>
          <w:color w:val="000000"/>
          <w:sz w:val="24"/>
          <w:szCs w:val="24"/>
          <w:lang w:val="kk-KZ" w:eastAsia="ru-RU"/>
        </w:rPr>
        <w:t xml:space="preserve">  </w:t>
      </w:r>
      <w:r w:rsidR="00A752CD" w:rsidRPr="0056654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11,7%</w:t>
      </w:r>
      <w:r w:rsidR="003A48FD" w:rsidRPr="00E970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-ке</w:t>
      </w:r>
      <w:r w:rsidR="00B558EA" w:rsidRPr="00E970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877577" w:rsidRPr="00E9706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қысқаруына әкелді</w:t>
      </w:r>
      <w:r w:rsidR="00A752CD" w:rsidRPr="0056654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  <w:r w:rsidR="00A752CD" w:rsidRPr="0056654F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 </w:t>
      </w:r>
    </w:p>
    <w:p w:rsidR="00F969C4" w:rsidRPr="00E97068" w:rsidRDefault="008478F9" w:rsidP="003A48FD">
      <w:pPr>
        <w:ind w:firstLine="567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>Х</w:t>
      </w:r>
      <w:r w:rsidR="003A48FD" w:rsidRPr="00E97068">
        <w:rPr>
          <w:rFonts w:ascii="Times New Roman" w:eastAsia="SimSun" w:hAnsi="Times New Roman"/>
          <w:sz w:val="24"/>
          <w:szCs w:val="24"/>
          <w:lang w:val="kk-KZ"/>
        </w:rPr>
        <w:t>алықтың депозиттерінің жиынтық қоржыны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3A48FD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жалпы үлесі 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9</w:t>
      </w:r>
      <w:r w:rsidR="003A48FD" w:rsidRPr="00E97068">
        <w:rPr>
          <w:rFonts w:ascii="Times New Roman" w:eastAsia="SimSun" w:hAnsi="Times New Roman"/>
          <w:sz w:val="24"/>
          <w:szCs w:val="24"/>
          <w:lang w:val="kk-KZ"/>
        </w:rPr>
        <w:t>,3% немесе 3,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7</w:t>
      </w:r>
      <w:r w:rsidR="003A48FD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трлн. теңге және тоқсандық өсімі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7</w:t>
      </w:r>
      <w:r w:rsidR="003A48FD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1</w:t>
      </w:r>
      <w:r w:rsidR="003A48FD" w:rsidRPr="00E97068">
        <w:rPr>
          <w:rFonts w:ascii="Times New Roman" w:eastAsia="SimSun" w:hAnsi="Times New Roman"/>
          <w:sz w:val="24"/>
          <w:szCs w:val="24"/>
          <w:lang w:val="kk-KZ"/>
        </w:rPr>
        <w:t>% болатын мерзімді және шартты салымдар</w:t>
      </w:r>
      <w:r w:rsidR="00356AF8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дан, </w:t>
      </w:r>
      <w:r w:rsidR="003A48FD"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356AF8" w:rsidRPr="00E97068">
        <w:rPr>
          <w:rFonts w:ascii="Times New Roman" w:eastAsia="SimSun" w:hAnsi="Times New Roman"/>
          <w:sz w:val="24"/>
          <w:szCs w:val="24"/>
          <w:lang w:val="kk-KZ"/>
        </w:rPr>
        <w:t xml:space="preserve">жалпы үлесі 9,8% немесе 403,6 млрд. теңге және тоқсандық кемуі </w:t>
      </w:r>
      <w:r w:rsidR="00F969C4" w:rsidRPr="00E97068">
        <w:rPr>
          <w:rFonts w:ascii="Times New Roman" w:eastAsia="SimSun" w:hAnsi="Times New Roman"/>
          <w:sz w:val="24"/>
          <w:szCs w:val="24"/>
          <w:lang w:val="kk-KZ"/>
        </w:rPr>
        <w:t>12</w:t>
      </w:r>
      <w:r w:rsidR="00356AF8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F969C4" w:rsidRPr="00E97068">
        <w:rPr>
          <w:rFonts w:ascii="Times New Roman" w:eastAsia="SimSun" w:hAnsi="Times New Roman"/>
          <w:sz w:val="24"/>
          <w:szCs w:val="24"/>
          <w:lang w:val="kk-KZ"/>
        </w:rPr>
        <w:t>9</w:t>
      </w:r>
      <w:r w:rsidR="00356AF8" w:rsidRPr="00E97068">
        <w:rPr>
          <w:rFonts w:ascii="Times New Roman" w:eastAsia="SimSun" w:hAnsi="Times New Roman"/>
          <w:sz w:val="24"/>
          <w:szCs w:val="24"/>
          <w:lang w:val="kk-KZ"/>
        </w:rPr>
        <w:t xml:space="preserve">% болатын </w:t>
      </w:r>
      <w:r w:rsidR="00F969C4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ағымдағы және карт-шоттардағы қалдықтардан, </w:t>
      </w:r>
      <w:r w:rsidR="00F969C4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сондай-ақ</w:t>
      </w:r>
      <w:r w:rsidR="00F969C4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</w:t>
      </w:r>
      <w:r w:rsidR="00217BFA" w:rsidRPr="00E97068">
        <w:rPr>
          <w:rFonts w:ascii="Times New Roman" w:eastAsia="SimSun" w:hAnsi="Times New Roman"/>
          <w:sz w:val="24"/>
          <w:szCs w:val="24"/>
          <w:lang w:val="kk-KZ"/>
        </w:rPr>
        <w:t>жалпы үлесі 0,9% немесе 38,5 млрд. теңге және тоқсандық өсуі 6,4% болатын</w:t>
      </w:r>
      <w:r w:rsidR="00217BFA"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 талап етілгенге дейінгі салымдардан </w:t>
      </w:r>
      <w:r w:rsidR="00217BFA"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құралған.</w:t>
      </w:r>
    </w:p>
    <w:p w:rsidR="00A111F2" w:rsidRPr="00E97068" w:rsidRDefault="00A111F2" w:rsidP="00A111F2">
      <w:pPr>
        <w:spacing w:after="0"/>
        <w:ind w:firstLine="567"/>
        <w:jc w:val="both"/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</w:pP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Мөлшері 5 млн. теңгеге дейінгі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мерзімді және шартты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қатысушы-банктердің жиынтық қоржынның 30,1% (немесе 1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>,2 трлн.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), ол  тоқсан ішінде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шетел валютасымен салынған депозиттер арқасында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18,6 млрд. теңгеге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өсті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.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5млн.-нан 15 млн. теңгеге дейінгі мерзімді салымдар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қарастырылып отырған мерзім ішінде 1,0 млрд. теңгеге қысқарып, жиынтық қоржынның тек 12,2% құрады. Депозиттер қоржынында ең үлкен үлеске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47,0%</w:t>
      </w:r>
      <w:r w:rsidR="002143B9" w:rsidRPr="00F62C07">
        <w:rPr>
          <w:rFonts w:ascii="Times New Roman" w:eastAsia="Times New Roman" w:hAnsi="Times New Roman"/>
          <w:sz w:val="24"/>
          <w:szCs w:val="24"/>
          <w:lang w:val="kk-KZ" w:eastAsia="ru-RU"/>
        </w:rPr>
        <w:t>-</w:t>
      </w:r>
      <w:r w:rsidR="002143B9">
        <w:rPr>
          <w:rFonts w:ascii="Times New Roman" w:eastAsia="Times New Roman" w:hAnsi="Times New Roman"/>
          <w:sz w:val="24"/>
          <w:szCs w:val="24"/>
          <w:lang w:val="kk-KZ" w:eastAsia="ru-RU"/>
        </w:rPr>
        <w:t>ке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ие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 xml:space="preserve">15 млн. теңгеден  жоғары мерзімді және шартты салымдар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225,8 млрд. теңгеге өсті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.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Халықтың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талап етілгенге дейінгі салымдары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тоқсан ішінде 2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,3 млрд. теңгеге өсті, ал жиынтық  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қоржындағы үлесі бұрынғыша 0</w:t>
      </w:r>
      <w:r w:rsidRPr="00E97068">
        <w:rPr>
          <w:rFonts w:ascii="Times New Roman" w:eastAsia="Times New Roman" w:hAnsi="Times New Roman"/>
          <w:sz w:val="24"/>
          <w:szCs w:val="24"/>
          <w:lang w:val="kk-KZ" w:eastAsia="it-IT"/>
        </w:rPr>
        <w:t xml:space="preserve">,9% болды. </w:t>
      </w:r>
      <w:r w:rsidRPr="00E97068">
        <w:rPr>
          <w:rFonts w:ascii="Times New Roman" w:eastAsia="Times New Roman" w:hAnsi="Times New Roman"/>
          <w:i/>
          <w:noProof/>
          <w:sz w:val="24"/>
          <w:szCs w:val="24"/>
          <w:lang w:val="kk-KZ" w:eastAsia="ru-RU"/>
        </w:rPr>
        <w:t>Ағымдағы және карт-шоттардағы</w:t>
      </w:r>
      <w:r w:rsidRPr="00E97068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жиынтық қалдықтары 59,6 млрд. теңгеге қысқарып, 403,6 млрд. теңгені құрады. </w:t>
      </w:r>
    </w:p>
    <w:p w:rsidR="00A752CD" w:rsidRPr="00A111F2" w:rsidRDefault="000472E2" w:rsidP="00A111F2">
      <w:pPr>
        <w:pStyle w:val="a4"/>
        <w:spacing w:line="276" w:lineRule="auto"/>
        <w:rPr>
          <w:rFonts w:ascii="Times New Roman" w:hAnsi="Times New Roman"/>
          <w:b/>
          <w:i/>
          <w:noProof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kk-KZ" w:eastAsia="ru-RU"/>
        </w:rPr>
        <w:lastRenderedPageBreak/>
        <w:t>Сурет</w:t>
      </w:r>
      <w:r w:rsidR="00A752CD" w:rsidRPr="00D31D90">
        <w:rPr>
          <w:rFonts w:ascii="Times New Roman" w:hAnsi="Times New Roman"/>
          <w:b/>
          <w:i/>
          <w:noProof/>
          <w:sz w:val="24"/>
          <w:szCs w:val="24"/>
          <w:lang w:val="kk-KZ" w:eastAsia="ru-RU"/>
        </w:rPr>
        <w:t xml:space="preserve"> 1.</w:t>
      </w:r>
      <w:r w:rsidR="00D31D90" w:rsidRPr="00D31D90">
        <w:rPr>
          <w:rFonts w:ascii="Times New Roman" w:eastAsia="Times New Roman" w:hAnsi="Times New Roman"/>
          <w:b/>
          <w:i/>
          <w:sz w:val="20"/>
          <w:szCs w:val="20"/>
          <w:lang w:val="kk-KZ" w:eastAsia="it-IT"/>
        </w:rPr>
        <w:t xml:space="preserve"> </w:t>
      </w:r>
      <w:r w:rsidR="00D31D90" w:rsidRPr="00A111F2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 xml:space="preserve">Жеке тұлғалар депозиттерінің негізгі категориялар бойынша  </w:t>
      </w:r>
      <w:r w:rsidR="0021655A" w:rsidRPr="0021655A">
        <w:rPr>
          <w:rFonts w:ascii="Times New Roman" w:eastAsia="Times New Roman" w:hAnsi="Times New Roman"/>
          <w:b/>
          <w:i/>
          <w:sz w:val="24"/>
          <w:szCs w:val="24"/>
          <w:lang w:val="kk-KZ" w:eastAsia="it-IT"/>
        </w:rPr>
        <w:t>құрылымы</w:t>
      </w:r>
      <w:r w:rsidR="0021655A" w:rsidRPr="00A111F2">
        <w:rPr>
          <w:rFonts w:ascii="Times New Roman" w:hAnsi="Times New Roman"/>
          <w:b/>
          <w:i/>
          <w:noProof/>
          <w:sz w:val="24"/>
          <w:szCs w:val="24"/>
          <w:lang w:val="kk-KZ" w:eastAsia="ru-RU"/>
        </w:rPr>
        <w:t xml:space="preserve"> </w:t>
      </w:r>
      <w:r w:rsidR="00A752CD" w:rsidRPr="00A111F2">
        <w:rPr>
          <w:rFonts w:ascii="Times New Roman" w:hAnsi="Times New Roman"/>
          <w:b/>
          <w:i/>
          <w:noProof/>
          <w:sz w:val="24"/>
          <w:szCs w:val="24"/>
          <w:lang w:val="kk-KZ" w:eastAsia="ru-RU"/>
        </w:rPr>
        <w:t>(млрд. те</w:t>
      </w:r>
      <w:r w:rsidR="00A111F2">
        <w:rPr>
          <w:rFonts w:ascii="Times New Roman" w:hAnsi="Times New Roman"/>
          <w:b/>
          <w:i/>
          <w:noProof/>
          <w:sz w:val="24"/>
          <w:szCs w:val="24"/>
          <w:lang w:val="kk-KZ" w:eastAsia="ru-RU"/>
        </w:rPr>
        <w:t>ң</w:t>
      </w:r>
      <w:r w:rsidR="00A752CD" w:rsidRPr="00A111F2">
        <w:rPr>
          <w:rFonts w:ascii="Times New Roman" w:hAnsi="Times New Roman"/>
          <w:b/>
          <w:i/>
          <w:noProof/>
          <w:sz w:val="24"/>
          <w:szCs w:val="24"/>
          <w:lang w:val="kk-KZ" w:eastAsia="ru-RU"/>
        </w:rPr>
        <w:t>ге)</w:t>
      </w:r>
    </w:p>
    <w:p w:rsidR="00A752CD" w:rsidRPr="00E97068" w:rsidRDefault="00CA0FC3" w:rsidP="00A752CD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111F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A3C83" wp14:editId="5620226A">
                <wp:simplePos x="0" y="0"/>
                <wp:positionH relativeFrom="column">
                  <wp:posOffset>2844165</wp:posOffset>
                </wp:positionH>
                <wp:positionV relativeFrom="paragraph">
                  <wp:posOffset>142875</wp:posOffset>
                </wp:positionV>
                <wp:extent cx="3038475" cy="1990725"/>
                <wp:effectExtent l="0" t="0" r="952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F0" w:rsidRDefault="00FD25F0" w:rsidP="00CA0F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5 млн. теңгеге дейінгі мерзімді және шартты салымдар</w:t>
                            </w:r>
                          </w:p>
                          <w:p w:rsidR="00A111F2" w:rsidRDefault="00FD25F0" w:rsidP="00CA0F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5 млн.-нан 10 млн. теңгеге дейінгі мерзімді және шартты салымдар</w:t>
                            </w:r>
                          </w:p>
                          <w:p w:rsidR="00FD25F0" w:rsidRDefault="00FD25F0" w:rsidP="00CA0F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10 млн.-нан 15 млн. теңгеге дейінгі мерзімді және шартты салымдар</w:t>
                            </w:r>
                          </w:p>
                          <w:p w:rsidR="00FD25F0" w:rsidRDefault="00B838A5" w:rsidP="00CA0F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15 млн. теңгеден жоғары мерзімді және шартты салымдар</w:t>
                            </w:r>
                          </w:p>
                          <w:p w:rsidR="00B838A5" w:rsidRDefault="00B838A5" w:rsidP="00CA0F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Талап етілгенге дейінгі салымдар</w:t>
                            </w:r>
                          </w:p>
                          <w:p w:rsidR="00CA0FC3" w:rsidRDefault="00CA0FC3" w:rsidP="00CA0F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B838A5" w:rsidRDefault="00B838A5" w:rsidP="00CA0F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  <w:t>Ағымдағы және карт-шоттардағы салымдар</w:t>
                            </w:r>
                          </w:p>
                          <w:p w:rsidR="00FD25F0" w:rsidRPr="00FD25F0" w:rsidRDefault="00FD25F0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3.95pt;margin-top:11.25pt;width:239.2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" stroked="f">
                <v:textbox>
                  <w:txbxContent>
                    <w:p w:rsidR="00FD25F0" w:rsidRDefault="00FD25F0" w:rsidP="00CA0FC3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 xml:space="preserve">5 млн. теңгеге дейінгі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мерзімді және шартты салымдар</w:t>
                      </w:r>
                    </w:p>
                    <w:p w:rsidR="00A111F2" w:rsidRDefault="00FD25F0" w:rsidP="00CA0FC3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5 млн.-нан 10 млн. теңгеге дейінгі мерзімді және шартты салымдар</w:t>
                      </w:r>
                    </w:p>
                    <w:p w:rsidR="00FD25F0" w:rsidRDefault="00FD25F0" w:rsidP="00CA0FC3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 xml:space="preserve">10 млн.-нан 15 млн. теңгеге дейінгі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мерзімді және шартты салымдар</w:t>
                      </w:r>
                    </w:p>
                    <w:p w:rsidR="00FD25F0" w:rsidRDefault="00B838A5" w:rsidP="00CA0FC3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 xml:space="preserve">15 млн. теңгеден жоғары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мерзімді және шартты салымдар</w:t>
                      </w:r>
                    </w:p>
                    <w:p w:rsidR="00B838A5" w:rsidRDefault="00B838A5" w:rsidP="00CA0FC3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Талап етілгенге дейінгі салымдар</w:t>
                      </w:r>
                    </w:p>
                    <w:p w:rsidR="00CA0FC3" w:rsidRDefault="00CA0FC3" w:rsidP="00CA0FC3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</w:p>
                    <w:p w:rsidR="00B838A5" w:rsidRDefault="00B838A5" w:rsidP="00CA0FC3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  <w:t>Ағымдағы және карт-шоттардағы салымдар</w:t>
                      </w:r>
                    </w:p>
                    <w:p w:rsidR="00FD25F0" w:rsidRPr="00FD25F0" w:rsidRDefault="00FD25F0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2CD" w:rsidRPr="00E9706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C7D9B6" wp14:editId="00F7D3EB">
            <wp:extent cx="6038850" cy="21907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CA0" w:rsidRPr="00E97068" w:rsidRDefault="00A67A8B" w:rsidP="00B238CC">
      <w:pPr>
        <w:spacing w:after="0"/>
        <w:ind w:firstLine="709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>Қосымша айта кететін болсақ, барлық жеке тұлғалар депозиттерінің 6,4% немесе 2</w:t>
      </w:r>
      <w:r w:rsidR="00DC7565" w:rsidRPr="00E97068">
        <w:rPr>
          <w:rFonts w:ascii="Times New Roman" w:eastAsia="SimSun" w:hAnsi="Times New Roman"/>
          <w:sz w:val="24"/>
          <w:szCs w:val="24"/>
          <w:lang w:val="kk-KZ"/>
        </w:rPr>
        <w:t>6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2</w:t>
      </w:r>
      <w:r w:rsidR="00DC7565"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E16CA0" w:rsidRPr="00E97068">
        <w:rPr>
          <w:rFonts w:ascii="Times New Roman" w:eastAsia="SimSun" w:hAnsi="Times New Roman"/>
          <w:sz w:val="24"/>
          <w:szCs w:val="24"/>
          <w:lang w:val="kk-KZ"/>
        </w:rPr>
        <w:t xml:space="preserve">8 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млрд. теңге, оның ішінде ағымдық және карт-шоттардағы сомалар 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тиесілі. Есептік тоқсан ішінде мұндай депозиттер сомасы </w:t>
      </w:r>
      <w:r w:rsidR="00E16CA0" w:rsidRPr="00E97068">
        <w:rPr>
          <w:rFonts w:ascii="Times New Roman" w:eastAsia="SimSun" w:hAnsi="Times New Roman"/>
          <w:sz w:val="24"/>
          <w:szCs w:val="24"/>
          <w:lang w:val="kk-KZ"/>
        </w:rPr>
        <w:t>50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,</w:t>
      </w:r>
      <w:r w:rsidR="00E16CA0" w:rsidRPr="00E97068">
        <w:rPr>
          <w:rFonts w:ascii="Times New Roman" w:eastAsia="SimSun" w:hAnsi="Times New Roman"/>
          <w:sz w:val="24"/>
          <w:szCs w:val="24"/>
          <w:lang w:val="kk-KZ"/>
        </w:rPr>
        <w:t>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теңгеге </w:t>
      </w:r>
      <w:r w:rsidR="00E16CA0" w:rsidRPr="00E97068">
        <w:rPr>
          <w:rFonts w:ascii="Times New Roman" w:eastAsia="SimSun" w:hAnsi="Times New Roman"/>
          <w:sz w:val="24"/>
          <w:szCs w:val="24"/>
          <w:lang w:val="kk-KZ"/>
        </w:rPr>
        <w:t>(+24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</w:t>
      </w:r>
      <w:r w:rsidR="00E16CA0" w:rsidRPr="00E97068">
        <w:rPr>
          <w:rFonts w:ascii="Times New Roman" w:eastAsia="SimSun" w:hAnsi="Times New Roman"/>
          <w:sz w:val="24"/>
          <w:szCs w:val="24"/>
          <w:lang w:val="kk-KZ"/>
        </w:rPr>
        <w:t>)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="00E16CA0" w:rsidRPr="00E97068">
        <w:rPr>
          <w:rFonts w:ascii="Times New Roman" w:eastAsia="SimSun" w:hAnsi="Times New Roman"/>
          <w:sz w:val="24"/>
          <w:szCs w:val="24"/>
          <w:lang w:val="kk-KZ"/>
        </w:rPr>
        <w:t>өст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і.</w:t>
      </w:r>
    </w:p>
    <w:p w:rsidR="00E16CA0" w:rsidRDefault="00A67A8B" w:rsidP="00B238C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>Екінші деңгейдегі банктердегі жеке тұлғалардың депозиттері бойынша Қор өтеуге қажетті кепілдік берілген өтемнің мөлшері 201</w:t>
      </w:r>
      <w:r w:rsidR="00B238CC" w:rsidRPr="00E97068">
        <w:rPr>
          <w:rFonts w:ascii="Times New Roman" w:hAnsi="Times New Roman"/>
          <w:sz w:val="24"/>
          <w:szCs w:val="24"/>
          <w:lang w:val="kk-KZ"/>
        </w:rPr>
        <w:t>4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 xml:space="preserve"> жылдың 1 </w:t>
      </w:r>
      <w:r w:rsidR="00B238CC" w:rsidRPr="00E97068">
        <w:rPr>
          <w:rFonts w:ascii="Times New Roman" w:hAnsi="Times New Roman"/>
          <w:sz w:val="24"/>
          <w:szCs w:val="24"/>
          <w:lang w:val="kk-KZ"/>
        </w:rPr>
        <w:t xml:space="preserve">сәуіріндегі 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>жағдайы бойынша 2,</w:t>
      </w:r>
      <w:r w:rsidR="00B238CC" w:rsidRPr="00E97068">
        <w:rPr>
          <w:rFonts w:ascii="Times New Roman" w:hAnsi="Times New Roman"/>
          <w:sz w:val="24"/>
          <w:szCs w:val="24"/>
          <w:lang w:val="kk-KZ"/>
        </w:rPr>
        <w:t>1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 xml:space="preserve"> трлн. теңгеге жетті. Сонымен бірге, есеп беретін күнге тоқсандағы Қордың арнайы резерві Қордың жарғылық капиталының қаражатын есептемегенде 1</w:t>
      </w:r>
      <w:r w:rsidR="00B238CC" w:rsidRPr="00E97068">
        <w:rPr>
          <w:rFonts w:ascii="Times New Roman" w:hAnsi="Times New Roman"/>
          <w:sz w:val="24"/>
          <w:szCs w:val="24"/>
          <w:lang w:val="kk-KZ"/>
        </w:rPr>
        <w:t>84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>,</w:t>
      </w:r>
      <w:r w:rsidR="00B238CC" w:rsidRPr="00E97068">
        <w:rPr>
          <w:rFonts w:ascii="Times New Roman" w:hAnsi="Times New Roman"/>
          <w:sz w:val="24"/>
          <w:szCs w:val="24"/>
          <w:lang w:val="kk-KZ"/>
        </w:rPr>
        <w:t>8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құрады. Заңнама бойынша, Қордың арнайы резервінің тапшылығы кезінде Қор акционерінің рұқсатымен Қордың жарғылық капиталының 70% қолдануға болады. Осылайша, есеп беретін күнге Қордың арнайы резервінің максималды мүмкін мөлшері 2</w:t>
      </w:r>
      <w:r w:rsidR="009920B5" w:rsidRPr="00E97068">
        <w:rPr>
          <w:rFonts w:ascii="Times New Roman" w:hAnsi="Times New Roman"/>
          <w:sz w:val="24"/>
          <w:szCs w:val="24"/>
          <w:lang w:val="kk-KZ"/>
        </w:rPr>
        <w:t>87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>,</w:t>
      </w:r>
      <w:r w:rsidR="009920B5" w:rsidRPr="00E97068">
        <w:rPr>
          <w:rFonts w:ascii="Times New Roman" w:hAnsi="Times New Roman"/>
          <w:sz w:val="24"/>
          <w:szCs w:val="24"/>
          <w:lang w:val="kk-KZ"/>
        </w:rPr>
        <w:t>5</w:t>
      </w:r>
      <w:r w:rsidR="00E16CA0"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құрады.</w:t>
      </w:r>
    </w:p>
    <w:p w:rsidR="000A6803" w:rsidRPr="00E97068" w:rsidRDefault="000A6803" w:rsidP="00B238C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52CD" w:rsidRPr="002143B9" w:rsidRDefault="00A752CD" w:rsidP="00A752CD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143B9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Диаграмма 2. </w:t>
      </w:r>
      <w:r w:rsidR="000472E2" w:rsidRPr="000472E2">
        <w:rPr>
          <w:rFonts w:ascii="Times New Roman" w:hAnsi="Times New Roman"/>
          <w:b/>
          <w:i/>
          <w:sz w:val="24"/>
          <w:szCs w:val="24"/>
          <w:lang w:val="kk-KZ" w:eastAsia="ru-RU"/>
        </w:rPr>
        <w:t>«БАТА» Жүйесінің жіктеу топтарындағы банктердің тоқсандық динамикасы</w:t>
      </w:r>
      <w:r w:rsidRPr="002143B9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</w:t>
      </w:r>
    </w:p>
    <w:p w:rsidR="00A752CD" w:rsidRPr="00E97068" w:rsidRDefault="000A6803" w:rsidP="00A752C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0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989330</wp:posOffset>
                </wp:positionH>
                <wp:positionV relativeFrom="paragraph">
                  <wp:posOffset>2152650</wp:posOffset>
                </wp:positionV>
                <wp:extent cx="628650" cy="219075"/>
                <wp:effectExtent l="0" t="0" r="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03" w:rsidRPr="000A6803" w:rsidRDefault="000A6803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7.9pt;margin-top:169.5pt;width:4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" stroked="f">
                <v:textbox>
                  <w:txbxContent>
                    <w:p w:rsidR="000A6803" w:rsidRPr="000A6803" w:rsidRDefault="000A6803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kk-KZ"/>
                        </w:rPr>
                        <w:t>тобы</w:t>
                      </w:r>
                    </w:p>
                  </w:txbxContent>
                </v:textbox>
              </v:shape>
            </w:pict>
          </mc:Fallback>
        </mc:AlternateContent>
      </w:r>
      <w:r w:rsidR="00A752CD" w:rsidRPr="00E9706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86A291" wp14:editId="2C175EB5">
            <wp:extent cx="4819650" cy="2447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654F" w:rsidRDefault="0056654F" w:rsidP="0066724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A6803" w:rsidRPr="00E97068" w:rsidRDefault="000A6803" w:rsidP="000A6803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kk-KZ" w:eastAsia="ru-RU"/>
        </w:rPr>
      </w:pPr>
      <w:r w:rsidRPr="00E97068">
        <w:rPr>
          <w:rFonts w:ascii="Times New Roman" w:hAnsi="Times New Roman"/>
          <w:sz w:val="24"/>
          <w:szCs w:val="24"/>
          <w:lang w:val="kk-KZ"/>
        </w:rPr>
        <w:t xml:space="preserve">Есептік тоқсанның қорытындысы бойынша «БАТА» міндетті күнтізбелік сараланған жарналар мөлшерлемелерін есептеу жүйесіне сәйкес, 2 банктің көрсеткіштері </w:t>
      </w:r>
      <w:r w:rsidRPr="00E97068">
        <w:rPr>
          <w:rFonts w:ascii="Times New Roman" w:hAnsi="Times New Roman"/>
          <w:sz w:val="24"/>
          <w:szCs w:val="24"/>
          <w:lang w:val="kk-KZ"/>
        </w:rPr>
        <w:lastRenderedPageBreak/>
        <w:t>нашарлап, жарнасы жоғарылау топқа көшті; 6 қатысушы банк рейтингісі жоғары және сәйкесінше тоқсандық жарна мөлшерлемесі төмендеу топтарға көшті;  3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қатысушы банк 0,5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% тоқсандық жарналы 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>«S» жіктеу тобына анықталды. Нәтижесінде жіктеу топтарындағы банктердің үлесі келесідей: «A» тобының үлесі - 2,9% (1 банк), «B» тобының үлесі - 5,7% (2 банк), «C» тобының үлесі - 48,6% (17 банк), «D» тобының үлесі - 28,6% (11 банк), «Е» тобының үлесі - 5,7% (2 банк</w:t>
      </w:r>
      <w:r w:rsidRPr="00E9706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)</w:t>
      </w: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және «S» тобының үлесі - 8,6% (</w:t>
      </w:r>
      <w:r w:rsidRPr="00E97068">
        <w:rPr>
          <w:rFonts w:ascii="Times New Roman" w:hAnsi="Times New Roman"/>
          <w:color w:val="000000"/>
          <w:sz w:val="24"/>
          <w:szCs w:val="24"/>
          <w:lang w:val="kk-KZ"/>
        </w:rPr>
        <w:t>3 банк).</w:t>
      </w:r>
    </w:p>
    <w:p w:rsidR="005F2A5F" w:rsidRPr="00E97068" w:rsidRDefault="005F2A5F" w:rsidP="0066724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2014 жылдың 1-тоқсаны бойынша қатысушы банктер төлеген  </w:t>
      </w:r>
      <w:r w:rsidRPr="00E97068">
        <w:rPr>
          <w:rFonts w:ascii="Times New Roman" w:hAnsi="Times New Roman"/>
          <w:sz w:val="24"/>
          <w:szCs w:val="24"/>
          <w:lang w:val="kk-KZ"/>
        </w:rPr>
        <w:t xml:space="preserve">міндетті күнтізбелік жарналар жиынтығы  </w:t>
      </w:r>
      <w:r w:rsidR="00BA26A0" w:rsidRPr="00E97068">
        <w:rPr>
          <w:rFonts w:ascii="Times New Roman" w:hAnsi="Times New Roman"/>
          <w:sz w:val="24"/>
          <w:szCs w:val="24"/>
          <w:lang w:val="kk-KZ"/>
        </w:rPr>
        <w:t xml:space="preserve">7,6 млрд. теңгені құрайды. </w:t>
      </w:r>
    </w:p>
    <w:p w:rsidR="00D83F4A" w:rsidRPr="00E97068" w:rsidRDefault="0066724E" w:rsidP="0025550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hAnsi="Times New Roman"/>
          <w:sz w:val="24"/>
          <w:szCs w:val="24"/>
          <w:lang w:val="kk-KZ"/>
        </w:rPr>
        <w:t xml:space="preserve">Екінші деңгейдегі банктердегі жеке тұлғалардың депозиттері бойынша Қор өтеуге қажетті кепілдік берілген өтемнің мөлшері 2014 жылдың 1 сәуіріндегі жағдайы бойынша 2,1 трлн. теңгеге жетті. </w:t>
      </w:r>
      <w:r w:rsidR="007A5D86" w:rsidRPr="00E97068">
        <w:rPr>
          <w:rFonts w:ascii="Times New Roman" w:hAnsi="Times New Roman"/>
          <w:sz w:val="24"/>
          <w:szCs w:val="24"/>
          <w:lang w:val="kk-KZ"/>
        </w:rPr>
        <w:t>Сонымен бірге, есеп беретін күнге сәйкес Қордың арнайы резерві Қордың жарғылық капиталының қаражатын есептемегенде 1</w:t>
      </w:r>
      <w:r w:rsidR="00DD1F9F" w:rsidRPr="00E97068">
        <w:rPr>
          <w:rFonts w:ascii="Times New Roman" w:hAnsi="Times New Roman"/>
          <w:sz w:val="24"/>
          <w:szCs w:val="24"/>
          <w:lang w:val="kk-KZ"/>
        </w:rPr>
        <w:t>84</w:t>
      </w:r>
      <w:r w:rsidR="007A5D86" w:rsidRPr="00E97068">
        <w:rPr>
          <w:rFonts w:ascii="Times New Roman" w:hAnsi="Times New Roman"/>
          <w:sz w:val="24"/>
          <w:szCs w:val="24"/>
          <w:lang w:val="kk-KZ"/>
        </w:rPr>
        <w:t>,</w:t>
      </w:r>
      <w:r w:rsidR="00DD1F9F" w:rsidRPr="00E97068">
        <w:rPr>
          <w:rFonts w:ascii="Times New Roman" w:hAnsi="Times New Roman"/>
          <w:sz w:val="24"/>
          <w:szCs w:val="24"/>
          <w:lang w:val="kk-KZ"/>
        </w:rPr>
        <w:t>8</w:t>
      </w:r>
      <w:r w:rsidR="007A5D86" w:rsidRPr="00E97068">
        <w:rPr>
          <w:rFonts w:ascii="Times New Roman" w:hAnsi="Times New Roman"/>
          <w:sz w:val="24"/>
          <w:szCs w:val="24"/>
          <w:lang w:val="kk-KZ"/>
        </w:rPr>
        <w:t xml:space="preserve"> млрд. теңгені құрады. Заңнама бойынша, Қордың арнайы резервінің тапшылығы кезінде Қор акционерінің рұқсатымен Қордың жарғылық капиталының 70% қолдануға болады</w:t>
      </w:r>
      <w:r w:rsidR="00DD1F9F" w:rsidRPr="00E97068">
        <w:rPr>
          <w:rFonts w:ascii="Times New Roman" w:hAnsi="Times New Roman"/>
          <w:sz w:val="24"/>
          <w:szCs w:val="24"/>
          <w:lang w:val="kk-KZ"/>
        </w:rPr>
        <w:t>, бұл жағдайда 287</w:t>
      </w:r>
      <w:r w:rsidR="00F035AC" w:rsidRPr="00E97068">
        <w:rPr>
          <w:rFonts w:ascii="Times New Roman" w:hAnsi="Times New Roman"/>
          <w:sz w:val="24"/>
          <w:szCs w:val="24"/>
          <w:lang w:val="kk-KZ"/>
        </w:rPr>
        <w:t xml:space="preserve">,5 млрд. немесе </w:t>
      </w:r>
      <w:r w:rsidR="00D83F4A" w:rsidRPr="00E97068">
        <w:rPr>
          <w:rFonts w:ascii="Times New Roman" w:hAnsi="Times New Roman"/>
          <w:sz w:val="24"/>
          <w:szCs w:val="24"/>
          <w:lang w:val="kk-KZ"/>
        </w:rPr>
        <w:t xml:space="preserve">кепіл берілетін жиынтық соманың </w:t>
      </w:r>
      <w:r w:rsidR="00F22173" w:rsidRPr="00E97068">
        <w:rPr>
          <w:rFonts w:ascii="Times New Roman" w:hAnsi="Times New Roman"/>
          <w:sz w:val="24"/>
          <w:szCs w:val="24"/>
          <w:lang w:val="kk-KZ"/>
        </w:rPr>
        <w:t>13,5%-</w:t>
      </w:r>
      <w:r w:rsidR="00D83F4A" w:rsidRPr="00E97068">
        <w:rPr>
          <w:rFonts w:ascii="Times New Roman" w:hAnsi="Times New Roman"/>
          <w:sz w:val="24"/>
          <w:szCs w:val="24"/>
          <w:lang w:val="kk-KZ"/>
        </w:rPr>
        <w:t xml:space="preserve">ін және жалпы депозиттер сомасының </w:t>
      </w:r>
      <w:r w:rsidR="00F22173" w:rsidRPr="00E97068">
        <w:rPr>
          <w:rFonts w:ascii="Times New Roman" w:hAnsi="Times New Roman"/>
          <w:sz w:val="24"/>
          <w:szCs w:val="24"/>
          <w:lang w:val="kk-KZ"/>
        </w:rPr>
        <w:t>7</w:t>
      </w:r>
      <w:r w:rsidR="00D83F4A" w:rsidRPr="00E97068">
        <w:rPr>
          <w:rFonts w:ascii="Times New Roman" w:hAnsi="Times New Roman"/>
          <w:sz w:val="24"/>
          <w:szCs w:val="24"/>
          <w:lang w:val="kk-KZ"/>
        </w:rPr>
        <w:t>,</w:t>
      </w:r>
      <w:r w:rsidR="00F22173" w:rsidRPr="00E97068">
        <w:rPr>
          <w:rFonts w:ascii="Times New Roman" w:hAnsi="Times New Roman"/>
          <w:sz w:val="24"/>
          <w:szCs w:val="24"/>
          <w:lang w:val="kk-KZ"/>
        </w:rPr>
        <w:t>0</w:t>
      </w:r>
      <w:r w:rsidR="00D83F4A" w:rsidRPr="00E97068">
        <w:rPr>
          <w:rFonts w:ascii="Times New Roman" w:hAnsi="Times New Roman"/>
          <w:sz w:val="24"/>
          <w:szCs w:val="24"/>
          <w:lang w:val="kk-KZ"/>
        </w:rPr>
        <w:t>%-ін құрайды.</w:t>
      </w:r>
    </w:p>
    <w:p w:rsidR="00255502" w:rsidRPr="00E97068" w:rsidRDefault="00255502" w:rsidP="00255502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97068">
        <w:rPr>
          <w:rFonts w:ascii="Times New Roman" w:eastAsia="SimSun" w:hAnsi="Times New Roman"/>
          <w:sz w:val="24"/>
          <w:szCs w:val="24"/>
          <w:lang w:val="kk-KZ"/>
        </w:rPr>
        <w:t>2014 ж. 1 ма</w:t>
      </w:r>
      <w:r w:rsidR="00F62C07">
        <w:rPr>
          <w:rFonts w:ascii="Times New Roman" w:eastAsia="SimSun" w:hAnsi="Times New Roman"/>
          <w:sz w:val="24"/>
          <w:szCs w:val="24"/>
          <w:lang w:val="kk-KZ"/>
        </w:rPr>
        <w:t>мырынд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ағы жағдайы бойынша Қор төлеген кепілдік берілген өтемнің жиынтық сомасы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679,5 млн. теңгені,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13,9 млрд. теңгені құрады. Қордың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Наурыз Банкінің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ликвидациялық комиссиясынан  кепілдік берілген өтемді төлеген сомасы бойынша талаптарын қанағаттандыру барысында алынған сома мөлшері 679,4 млн. теңге немесе ликвидациялық коммиссиясына қойылған барлық талап сомасының 88</w:t>
      </w:r>
      <w:r w:rsidR="00841E4E" w:rsidRPr="00E97068">
        <w:rPr>
          <w:rFonts w:ascii="Times New Roman" w:eastAsia="SimSun" w:hAnsi="Times New Roman"/>
          <w:sz w:val="24"/>
          <w:szCs w:val="24"/>
          <w:lang w:val="kk-KZ"/>
        </w:rPr>
        <w:t>,01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%, ал </w:t>
      </w:r>
      <w:r w:rsidRPr="00E97068">
        <w:rPr>
          <w:rFonts w:ascii="Times New Roman" w:eastAsia="SimSun" w:hAnsi="Times New Roman"/>
          <w:b/>
          <w:i/>
          <w:sz w:val="24"/>
          <w:szCs w:val="24"/>
          <w:lang w:val="kk-KZ"/>
        </w:rPr>
        <w:t>Валют-Транзит Банкі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бойынша 8,</w:t>
      </w:r>
      <w:r w:rsidR="00841E4E" w:rsidRPr="00E97068">
        <w:rPr>
          <w:rFonts w:ascii="Times New Roman" w:eastAsia="SimSun" w:hAnsi="Times New Roman"/>
          <w:sz w:val="24"/>
          <w:szCs w:val="24"/>
          <w:lang w:val="kk-KZ"/>
        </w:rPr>
        <w:t>2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 xml:space="preserve"> млрд. теңге немесе Қордың ликвидациялық коммиссиясына қойылған талап сомасының 5</w:t>
      </w:r>
      <w:r w:rsidR="00841E4E" w:rsidRPr="00E97068">
        <w:rPr>
          <w:rFonts w:ascii="Times New Roman" w:eastAsia="SimSun" w:hAnsi="Times New Roman"/>
          <w:sz w:val="24"/>
          <w:szCs w:val="24"/>
          <w:lang w:val="kk-KZ"/>
        </w:rPr>
        <w:t>8</w:t>
      </w:r>
      <w:r w:rsidRPr="00E97068">
        <w:rPr>
          <w:rFonts w:ascii="Times New Roman" w:eastAsia="SimSun" w:hAnsi="Times New Roman"/>
          <w:sz w:val="24"/>
          <w:szCs w:val="24"/>
          <w:lang w:val="kk-KZ"/>
        </w:rPr>
        <w:t>% өндірілді.</w:t>
      </w:r>
    </w:p>
    <w:p w:rsidR="00F54A8C" w:rsidRDefault="00A752CD" w:rsidP="00F54A8C">
      <w:pPr>
        <w:tabs>
          <w:tab w:val="left" w:pos="6885"/>
        </w:tabs>
        <w:spacing w:after="120"/>
        <w:jc w:val="right"/>
        <w:rPr>
          <w:rFonts w:ascii="Times New Roman" w:eastAsia="Times New Roman" w:hAnsi="Times New Roman"/>
          <w:color w:val="0000CC"/>
          <w:sz w:val="24"/>
          <w:szCs w:val="24"/>
          <w:lang w:val="kk-KZ" w:eastAsia="ru-RU"/>
        </w:rPr>
      </w:pPr>
      <w:r w:rsidRPr="00F54A8C">
        <w:rPr>
          <w:rFonts w:ascii="Times New Roman" w:hAnsi="Times New Roman"/>
          <w:sz w:val="24"/>
          <w:szCs w:val="24"/>
          <w:lang w:val="kk-KZ"/>
        </w:rPr>
        <w:br w:type="page"/>
      </w:r>
      <w:r w:rsidR="00F54A8C">
        <w:rPr>
          <w:rFonts w:ascii="Times New Roman" w:hAnsi="Times New Roman"/>
          <w:i/>
          <w:sz w:val="24"/>
          <w:szCs w:val="24"/>
          <w:lang w:val="kk-KZ"/>
        </w:rPr>
        <w:lastRenderedPageBreak/>
        <w:t>Қосымша</w:t>
      </w:r>
    </w:p>
    <w:p w:rsidR="00F54A8C" w:rsidRDefault="00F54A8C" w:rsidP="00F54A8C">
      <w:pPr>
        <w:spacing w:after="0" w:line="240" w:lineRule="auto"/>
        <w:ind w:left="-540"/>
        <w:jc w:val="center"/>
        <w:rPr>
          <w:rFonts w:ascii="Times New Roman" w:eastAsia="SimSun" w:hAnsi="Times New Roman"/>
          <w:sz w:val="24"/>
          <w:szCs w:val="24"/>
          <w:lang w:val="kk-KZ"/>
        </w:rPr>
      </w:pPr>
      <w:r>
        <w:rPr>
          <w:rFonts w:ascii="Times New Roman" w:eastAsia="SimSun" w:hAnsi="Times New Roman"/>
          <w:sz w:val="24"/>
          <w:szCs w:val="24"/>
          <w:lang w:val="kk-KZ"/>
        </w:rPr>
        <w:t xml:space="preserve">2014 жылдың 1 сәуіріне сәйкес </w:t>
      </w:r>
    </w:p>
    <w:p w:rsidR="00F54A8C" w:rsidRDefault="00F54A8C" w:rsidP="00F54A8C">
      <w:pPr>
        <w:spacing w:after="0" w:line="240" w:lineRule="auto"/>
        <w:ind w:left="-540"/>
        <w:jc w:val="center"/>
        <w:rPr>
          <w:rFonts w:ascii="Times New Roman" w:eastAsia="SimSun" w:hAnsi="Times New Roman"/>
          <w:b/>
          <w:sz w:val="24"/>
          <w:szCs w:val="24"/>
          <w:lang w:val="kk-KZ"/>
        </w:rPr>
      </w:pPr>
      <w:r>
        <w:rPr>
          <w:rFonts w:ascii="Times New Roman" w:eastAsia="SimSun" w:hAnsi="Times New Roman"/>
          <w:b/>
          <w:sz w:val="24"/>
          <w:szCs w:val="24"/>
          <w:lang w:val="kk-KZ"/>
        </w:rPr>
        <w:t>қатысушы банктердің жеке тұлғалар депозиттері бойынша мәліметтерінің жиынтығы</w:t>
      </w:r>
    </w:p>
    <w:p w:rsidR="00F54A8C" w:rsidRDefault="00F54A8C" w:rsidP="00F54A8C">
      <w:pPr>
        <w:spacing w:after="0" w:line="240" w:lineRule="auto"/>
        <w:ind w:left="-540"/>
        <w:jc w:val="center"/>
        <w:rPr>
          <w:rFonts w:ascii="Times New Roman" w:eastAsia="SimSun" w:hAnsi="Times New Roman"/>
          <w:b/>
          <w:sz w:val="24"/>
          <w:szCs w:val="24"/>
          <w:lang w:val="kk-KZ"/>
        </w:rPr>
      </w:pPr>
    </w:p>
    <w:tbl>
      <w:tblPr>
        <w:tblW w:w="5252" w:type="pct"/>
        <w:tblInd w:w="-318" w:type="dxa"/>
        <w:tblLook w:val="04A0" w:firstRow="1" w:lastRow="0" w:firstColumn="1" w:lastColumn="0" w:noHBand="0" w:noVBand="1"/>
      </w:tblPr>
      <w:tblGrid>
        <w:gridCol w:w="668"/>
        <w:gridCol w:w="4291"/>
        <w:gridCol w:w="1789"/>
        <w:gridCol w:w="1789"/>
        <w:gridCol w:w="1516"/>
      </w:tblGrid>
      <w:tr w:rsidR="00F54A8C" w:rsidTr="00F54A8C">
        <w:trPr>
          <w:trHeight w:val="288"/>
        </w:trPr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8C" w:rsidRDefault="00F54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bookmarkStart w:id="0" w:name="OLE_LINK1"/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A8C" w:rsidRPr="00F54A8C" w:rsidRDefault="00F54A8C">
            <w:pPr>
              <w:spacing w:after="0" w:line="240" w:lineRule="auto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A8C" w:rsidRPr="00F54A8C" w:rsidRDefault="00F54A8C">
            <w:pPr>
              <w:spacing w:after="0" w:line="240" w:lineRule="auto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4A8C" w:rsidRDefault="00F54A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мың теңге   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8C" w:rsidRDefault="00F54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F54A8C" w:rsidTr="00F54A8C">
        <w:trPr>
          <w:trHeight w:val="7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54A8C" w:rsidRDefault="00F5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54A8C" w:rsidRDefault="00F5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Аталуы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54A8C" w:rsidRDefault="00F5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Сомасы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54A8C" w:rsidRDefault="00F54A8C" w:rsidP="00F54A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1- тоқсандағы өзгерісі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54A8C" w:rsidRDefault="00F5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Шоттардың саны</w:t>
            </w:r>
          </w:p>
        </w:tc>
      </w:tr>
      <w:tr w:rsidR="00CB782C" w:rsidRPr="00B97803" w:rsidTr="00362845">
        <w:trPr>
          <w:trHeight w:val="43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Барлық жеке тұлғалар депозиттері  </w:t>
            </w:r>
            <w:r w:rsidRPr="00B97803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>теңгемен</w:t>
            </w:r>
            <w:r w:rsidRPr="00B97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8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</w:t>
            </w:r>
            <w:r w:rsidRPr="00B97803">
              <w:rPr>
                <w:rFonts w:ascii="Times New Roman" w:hAnsi="Times New Roman"/>
                <w:iCs/>
                <w:color w:val="000000"/>
                <w:sz w:val="20"/>
                <w:szCs w:val="20"/>
                <w:lang w:val="kk-KZ"/>
              </w:rPr>
              <w:t xml:space="preserve">шетел валютасымен, </w:t>
            </w: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оның ішінде: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4 131 590 798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186 085 263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21 486 319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Талап етілгенге дейінгі салымдар</w:t>
            </w: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, оның ішінде: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38 451 714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2 300 195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1 619 542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17 068 542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-3 573 171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1 491 985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21 383 172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5 873 366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127 557</w:t>
            </w:r>
          </w:p>
        </w:tc>
      </w:tr>
      <w:tr w:rsidR="00CB782C" w:rsidRPr="00B97803" w:rsidTr="00CB782C">
        <w:trPr>
          <w:trHeight w:val="46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талап етілгенге дейінгі салымдар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7 709 643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2 834 210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248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Мерзімді және шартты салымдар, оның ішінде: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3 689 495 565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243 357 806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2 336 832</w:t>
            </w:r>
          </w:p>
        </w:tc>
      </w:tr>
      <w:tr w:rsidR="00CB782C" w:rsidRPr="00B97803" w:rsidTr="00125FB5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теңгемен,</w:t>
            </w: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1 526 558 594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-251 850 643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1 751 264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276 639 845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-10 378 997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1 439 728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363 199 414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-24 614 921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223 109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195 442 156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-11 855 989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50 716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164 887 111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-36 605 687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25 808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55 855 314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-19 658 303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4 681</w:t>
            </w:r>
          </w:p>
        </w:tc>
      </w:tr>
      <w:tr w:rsidR="00CB782C" w:rsidRPr="00B97803" w:rsidTr="00125FB5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470 534 754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-148 736 746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7 222</w:t>
            </w:r>
          </w:p>
        </w:tc>
      </w:tr>
      <w:tr w:rsidR="00CB782C" w:rsidRPr="00B97803" w:rsidTr="00125FB5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оның ішінде</w:t>
            </w:r>
            <w:r w:rsidRPr="00B9780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2 162 936 971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495 208 449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585 568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82 030 815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4 210 446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397 755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 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176 496 702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30 368 240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99 467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3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148 652 697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30 877 011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37 590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5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193 649 480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40 161 706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28 341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10 млн</w:t>
            </w:r>
            <w:proofErr w:type="gramStart"/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gramEnd"/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нан бастап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млн. 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теңгеден аспайтын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91 386 902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15 093 340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7 545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color w:val="000000"/>
                <w:sz w:val="20"/>
                <w:szCs w:val="20"/>
              </w:rPr>
              <w:t>15 млн.</w:t>
            </w:r>
            <w:r w:rsidRPr="00B978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теңгеден жоғары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1 470 720 374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374 497 705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14 870</w:t>
            </w:r>
          </w:p>
        </w:tc>
      </w:tr>
      <w:tr w:rsidR="00CB782C" w:rsidRPr="00B97803" w:rsidTr="00125FB5">
        <w:trPr>
          <w:trHeight w:val="64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мерзімді және шартты  салымдар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251 893 284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47 824 431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1 747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Ағымдық шоттардағы ақша қалдықтары (карт-шоттағы қалдықты қоса есептегенде) оның ішінде: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403 643 519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-59 572 738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17 529 945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теңгемен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339 988 364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-69 067 059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16 675 912</w:t>
            </w:r>
          </w:p>
        </w:tc>
      </w:tr>
      <w:tr w:rsidR="00CB782C" w:rsidRPr="00B97803" w:rsidTr="00CB782C">
        <w:trPr>
          <w:trHeight w:val="2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780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  <w:t>шетел валютасымен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63 655 155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9 494 321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854 033</w:t>
            </w:r>
          </w:p>
        </w:tc>
      </w:tr>
      <w:tr w:rsidR="00CB782C" w:rsidRPr="00B97803" w:rsidTr="00CB782C">
        <w:trPr>
          <w:trHeight w:val="69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2C" w:rsidRPr="00B97803" w:rsidRDefault="00CB782C" w:rsidP="004511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2C" w:rsidRPr="00B97803" w:rsidRDefault="00CB782C" w:rsidP="004511E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kk-KZ"/>
              </w:rPr>
            </w:pPr>
            <w:r w:rsidRPr="00B9780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басқарушы қызметкерлеріне, сонымен бірге 5% және одан жоғары дауыс беру құқығы бар акцияларға ие акционерлер мен олардың жақын туыстарына тиесілі ағымдық шоттардағы ақша қалдықтары (карт-шоттағы қалдықты қоса есептегенде)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3 210 014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127 689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2C" w:rsidRPr="00B97803" w:rsidRDefault="00CB782C" w:rsidP="00F54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97803">
              <w:rPr>
                <w:rFonts w:ascii="Times New Roman" w:eastAsia="Times New Roman" w:hAnsi="Times New Roman"/>
                <w:lang w:eastAsia="ru-RU"/>
              </w:rPr>
              <w:t>7 151</w:t>
            </w:r>
          </w:p>
        </w:tc>
      </w:tr>
      <w:bookmarkEnd w:id="0"/>
    </w:tbl>
    <w:p w:rsidR="00F54A8C" w:rsidRPr="00B97803" w:rsidRDefault="00F54A8C" w:rsidP="00F54A8C">
      <w:pPr>
        <w:tabs>
          <w:tab w:val="left" w:pos="1650"/>
        </w:tabs>
        <w:spacing w:after="120"/>
        <w:jc w:val="both"/>
        <w:rPr>
          <w:rFonts w:ascii="Times New Roman" w:eastAsia="Times New Roman" w:hAnsi="Times New Roman"/>
          <w:color w:val="0000CC"/>
          <w:sz w:val="24"/>
          <w:szCs w:val="24"/>
          <w:lang w:val="kk-KZ" w:eastAsia="ru-RU"/>
        </w:rPr>
      </w:pPr>
    </w:p>
    <w:p w:rsidR="00A752CD" w:rsidRPr="00E97068" w:rsidRDefault="00A752CD" w:rsidP="00A752CD">
      <w:pPr>
        <w:tabs>
          <w:tab w:val="left" w:pos="6885"/>
        </w:tabs>
        <w:spacing w:after="120"/>
        <w:ind w:firstLine="567"/>
        <w:jc w:val="right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sectPr w:rsidR="00A752CD" w:rsidRPr="00E97068" w:rsidSect="003F4014">
      <w:headerReference w:type="default" r:id="rId10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A5" w:rsidRDefault="002B42A5" w:rsidP="00A752CD">
      <w:pPr>
        <w:spacing w:after="0" w:line="240" w:lineRule="auto"/>
      </w:pPr>
      <w:r>
        <w:separator/>
      </w:r>
    </w:p>
  </w:endnote>
  <w:endnote w:type="continuationSeparator" w:id="0">
    <w:p w:rsidR="002B42A5" w:rsidRDefault="002B42A5" w:rsidP="00A7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A5" w:rsidRDefault="002B42A5" w:rsidP="00A752CD">
      <w:pPr>
        <w:spacing w:after="0" w:line="240" w:lineRule="auto"/>
      </w:pPr>
      <w:r>
        <w:separator/>
      </w:r>
    </w:p>
  </w:footnote>
  <w:footnote w:type="continuationSeparator" w:id="0">
    <w:p w:rsidR="002B42A5" w:rsidRDefault="002B42A5" w:rsidP="00A7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8C" w:rsidRDefault="00F54A8C" w:rsidP="000A2D43">
    <w:pPr>
      <w:pStyle w:val="a8"/>
      <w:ind w:left="709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0" t="0" r="1905" b="0"/>
          <wp:wrapSquare wrapText="bothSides"/>
          <wp:docPr id="6" name="Рисунок 6" descr="Описание: 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8"/>
        <w:szCs w:val="18"/>
        <w:lang w:val="kk-KZ"/>
      </w:rPr>
      <w:t>Қазақстанның депозиттерге кепілдік беру қоры</w:t>
    </w:r>
  </w:p>
  <w:p w:rsidR="00F54A8C" w:rsidRPr="003F4014" w:rsidRDefault="00F54A8C" w:rsidP="000A2D43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left="709"/>
      <w:rPr>
        <w:rFonts w:ascii="Times New Roman" w:hAnsi="Times New Roman" w:cs="Mangal"/>
        <w:i/>
        <w:sz w:val="18"/>
        <w:szCs w:val="18"/>
        <w:lang w:eastAsia="x-none" w:bidi="sa-IN"/>
      </w:rPr>
    </w:pPr>
    <w:r>
      <w:rPr>
        <w:rFonts w:ascii="Times New Roman" w:hAnsi="Times New Roman"/>
        <w:i/>
        <w:sz w:val="18"/>
        <w:szCs w:val="18"/>
      </w:rPr>
      <w:t>20</w:t>
    </w:r>
    <w:r>
      <w:rPr>
        <w:rFonts w:ascii="Times New Roman" w:hAnsi="Times New Roman"/>
        <w:i/>
        <w:sz w:val="18"/>
        <w:szCs w:val="18"/>
        <w:lang w:val="kk-KZ"/>
      </w:rPr>
      <w:t>14</w:t>
    </w:r>
    <w:r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  <w:lang w:val="kk-KZ"/>
      </w:rPr>
      <w:t>ж</w:t>
    </w:r>
    <w:r>
      <w:rPr>
        <w:rFonts w:ascii="Times New Roman" w:hAnsi="Times New Roman"/>
        <w:i/>
        <w:sz w:val="18"/>
        <w:szCs w:val="18"/>
      </w:rPr>
      <w:t>.</w:t>
    </w:r>
    <w:r>
      <w:rPr>
        <w:rFonts w:ascii="Times New Roman" w:hAnsi="Times New Roman"/>
        <w:i/>
        <w:sz w:val="18"/>
        <w:szCs w:val="18"/>
        <w:lang w:val="kk-KZ"/>
      </w:rPr>
      <w:t>1 тоқсандық ақпараттық шолу</w:t>
    </w:r>
    <w:r>
      <w:rPr>
        <w:rFonts w:ascii="Times New Roman" w:hAnsi="Times New Roman" w:cs="Mangal"/>
        <w:i/>
        <w:sz w:val="18"/>
        <w:szCs w:val="18"/>
        <w:lang w:val="x-none" w:eastAsia="x-none" w:bidi="sa-IN"/>
      </w:rPr>
      <w:t>.</w:t>
    </w:r>
  </w:p>
  <w:p w:rsidR="00F54A8C" w:rsidRDefault="00F54A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0"/>
    <w:rsid w:val="00016215"/>
    <w:rsid w:val="000229F2"/>
    <w:rsid w:val="0003409E"/>
    <w:rsid w:val="00034BE7"/>
    <w:rsid w:val="000472E2"/>
    <w:rsid w:val="0006707F"/>
    <w:rsid w:val="000A2D43"/>
    <w:rsid w:val="000A6803"/>
    <w:rsid w:val="000B1930"/>
    <w:rsid w:val="000D5FFA"/>
    <w:rsid w:val="001520AC"/>
    <w:rsid w:val="00157885"/>
    <w:rsid w:val="001B2506"/>
    <w:rsid w:val="002143B9"/>
    <w:rsid w:val="0021655A"/>
    <w:rsid w:val="00217BFA"/>
    <w:rsid w:val="00255502"/>
    <w:rsid w:val="002A6B35"/>
    <w:rsid w:val="002B42A5"/>
    <w:rsid w:val="002C3631"/>
    <w:rsid w:val="0030268F"/>
    <w:rsid w:val="003507E6"/>
    <w:rsid w:val="00356AF8"/>
    <w:rsid w:val="00384548"/>
    <w:rsid w:val="003913D8"/>
    <w:rsid w:val="003A205B"/>
    <w:rsid w:val="003A48FD"/>
    <w:rsid w:val="003F37E8"/>
    <w:rsid w:val="003F4014"/>
    <w:rsid w:val="00416D20"/>
    <w:rsid w:val="00424501"/>
    <w:rsid w:val="0048644E"/>
    <w:rsid w:val="00487CD2"/>
    <w:rsid w:val="004B2027"/>
    <w:rsid w:val="004B7979"/>
    <w:rsid w:val="004C7740"/>
    <w:rsid w:val="004E1C77"/>
    <w:rsid w:val="004F637D"/>
    <w:rsid w:val="00541B65"/>
    <w:rsid w:val="0054309D"/>
    <w:rsid w:val="0056654F"/>
    <w:rsid w:val="005F2A5F"/>
    <w:rsid w:val="0066724E"/>
    <w:rsid w:val="00684AD5"/>
    <w:rsid w:val="006B687C"/>
    <w:rsid w:val="00705DDD"/>
    <w:rsid w:val="00717CAA"/>
    <w:rsid w:val="007A5D86"/>
    <w:rsid w:val="007C05B6"/>
    <w:rsid w:val="007F5B5E"/>
    <w:rsid w:val="00841E4E"/>
    <w:rsid w:val="008478F9"/>
    <w:rsid w:val="008515CA"/>
    <w:rsid w:val="00877577"/>
    <w:rsid w:val="00961E16"/>
    <w:rsid w:val="009920B5"/>
    <w:rsid w:val="00A111F2"/>
    <w:rsid w:val="00A203E8"/>
    <w:rsid w:val="00A539F7"/>
    <w:rsid w:val="00A5617F"/>
    <w:rsid w:val="00A67A8B"/>
    <w:rsid w:val="00A752CD"/>
    <w:rsid w:val="00AD36B0"/>
    <w:rsid w:val="00AE1E6B"/>
    <w:rsid w:val="00B238CC"/>
    <w:rsid w:val="00B4733B"/>
    <w:rsid w:val="00B54586"/>
    <w:rsid w:val="00B558EA"/>
    <w:rsid w:val="00B838A5"/>
    <w:rsid w:val="00B93445"/>
    <w:rsid w:val="00B97803"/>
    <w:rsid w:val="00BA26A0"/>
    <w:rsid w:val="00BD24E2"/>
    <w:rsid w:val="00BF2F19"/>
    <w:rsid w:val="00C24E00"/>
    <w:rsid w:val="00C57877"/>
    <w:rsid w:val="00C6267E"/>
    <w:rsid w:val="00C6298C"/>
    <w:rsid w:val="00CA0FC3"/>
    <w:rsid w:val="00CA150F"/>
    <w:rsid w:val="00CB782C"/>
    <w:rsid w:val="00CF7E2E"/>
    <w:rsid w:val="00D06213"/>
    <w:rsid w:val="00D31D90"/>
    <w:rsid w:val="00D331E7"/>
    <w:rsid w:val="00D36CE1"/>
    <w:rsid w:val="00D83F4A"/>
    <w:rsid w:val="00DC20CE"/>
    <w:rsid w:val="00DC7565"/>
    <w:rsid w:val="00DD1F9F"/>
    <w:rsid w:val="00DE3169"/>
    <w:rsid w:val="00DE34DB"/>
    <w:rsid w:val="00E04F4C"/>
    <w:rsid w:val="00E16CA0"/>
    <w:rsid w:val="00E76FCB"/>
    <w:rsid w:val="00E93C13"/>
    <w:rsid w:val="00E97068"/>
    <w:rsid w:val="00E97D0F"/>
    <w:rsid w:val="00EC0AEE"/>
    <w:rsid w:val="00EF6601"/>
    <w:rsid w:val="00F035AC"/>
    <w:rsid w:val="00F22173"/>
    <w:rsid w:val="00F54A8C"/>
    <w:rsid w:val="00F62C07"/>
    <w:rsid w:val="00F811DD"/>
    <w:rsid w:val="00F86856"/>
    <w:rsid w:val="00F969C4"/>
    <w:rsid w:val="00F97D2E"/>
    <w:rsid w:val="00FD25F0"/>
    <w:rsid w:val="00FE6EA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CD"/>
    <w:pPr>
      <w:ind w:left="720"/>
      <w:contextualSpacing/>
    </w:pPr>
  </w:style>
  <w:style w:type="paragraph" w:styleId="a4">
    <w:name w:val="No Spacing"/>
    <w:link w:val="a5"/>
    <w:uiPriority w:val="1"/>
    <w:qFormat/>
    <w:rsid w:val="00A752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CD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A752C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2C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2C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97D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CD"/>
    <w:pPr>
      <w:ind w:left="720"/>
      <w:contextualSpacing/>
    </w:pPr>
  </w:style>
  <w:style w:type="paragraph" w:styleId="a4">
    <w:name w:val="No Spacing"/>
    <w:link w:val="a5"/>
    <w:uiPriority w:val="1"/>
    <w:qFormat/>
    <w:rsid w:val="00A752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CD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A752C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2C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2C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E97D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1%20&#1082;&#1074;&#1072;&#1088;&#1090;&#1072;&#1083;%202014\&#1064;&#1099;&#1085;&#1072;&#1088;\&#1076;&#1077;&#1074;&#1072;&#1083;&#1100;&#1074;&#1072;&#1094;&#1080;&#1103;%20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mas\Desktop\&#1050;&#1088;&#1072;&#1090;&#1082;&#1072;&#1103;%20&#1072;&#1085;&#1072;&#1083;&#1080;&#1090;&#1080;&#1082;&#1072;\&#1088;&#1072;&#1089;&#1095;&#1077;&#1090;&#1099;%20&#1076;&#1083;&#1103;%20&#1072;&#1085;&#1072;&#1083;&#1080;&#1079;&#1072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1%20&#1082;&#1074;&#1072;&#1088;&#1090;&#1072;&#1083;%202014\&#1050;&#1083;&#1072;&#1089;&#1089;&#1080;&#1092;&#1080;&#1082;&#1072;&#1094;&#1080;&#1086;&#1085;&#1085;&#1099;&#1077;%20&#1075;&#1088;&#1091;&#1087;&#1087;&#1099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012859886917409E-2"/>
          <c:y val="1.5377231551681586E-2"/>
          <c:w val="0.95133276539112688"/>
          <c:h val="0.8724447696339786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Лист1!$C$340</c:f>
              <c:strCache>
                <c:ptCount val="1"/>
                <c:pt idx="0">
                  <c:v>Всего депозитов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Лист1!$D$335:$AC$337</c:f>
              <c:numCache>
                <c:formatCode>m/d/yyyy</c:formatCode>
                <c:ptCount val="26"/>
                <c:pt idx="0">
                  <c:v>39539</c:v>
                </c:pt>
                <c:pt idx="1">
                  <c:v>39630</c:v>
                </c:pt>
                <c:pt idx="2">
                  <c:v>39722</c:v>
                </c:pt>
                <c:pt idx="3">
                  <c:v>39814</c:v>
                </c:pt>
                <c:pt idx="4">
                  <c:v>39904</c:v>
                </c:pt>
                <c:pt idx="5">
                  <c:v>39995</c:v>
                </c:pt>
                <c:pt idx="6">
                  <c:v>40087</c:v>
                </c:pt>
                <c:pt idx="7">
                  <c:v>40179</c:v>
                </c:pt>
                <c:pt idx="8">
                  <c:v>40269</c:v>
                </c:pt>
                <c:pt idx="9">
                  <c:v>40360</c:v>
                </c:pt>
                <c:pt idx="10">
                  <c:v>40452</c:v>
                </c:pt>
                <c:pt idx="11">
                  <c:v>40544</c:v>
                </c:pt>
                <c:pt idx="12">
                  <c:v>40634</c:v>
                </c:pt>
                <c:pt idx="13">
                  <c:v>40725</c:v>
                </c:pt>
                <c:pt idx="14">
                  <c:v>40817</c:v>
                </c:pt>
                <c:pt idx="15">
                  <c:v>40909</c:v>
                </c:pt>
                <c:pt idx="16">
                  <c:v>41000</c:v>
                </c:pt>
                <c:pt idx="17">
                  <c:v>41091</c:v>
                </c:pt>
                <c:pt idx="18">
                  <c:v>41183</c:v>
                </c:pt>
                <c:pt idx="19">
                  <c:v>41275</c:v>
                </c:pt>
                <c:pt idx="20">
                  <c:v>41365</c:v>
                </c:pt>
                <c:pt idx="21">
                  <c:v>41456</c:v>
                </c:pt>
                <c:pt idx="22">
                  <c:v>41548</c:v>
                </c:pt>
                <c:pt idx="23">
                  <c:v>41640</c:v>
                </c:pt>
                <c:pt idx="24">
                  <c:v>41730</c:v>
                </c:pt>
              </c:numCache>
            </c:numRef>
          </c:cat>
          <c:val>
            <c:numRef>
              <c:f>Лист1!$D$340:$AC$340</c:f>
              <c:numCache>
                <c:formatCode>0.00%</c:formatCode>
                <c:ptCount val="26"/>
                <c:pt idx="0">
                  <c:v>3.5935115069947843E-2</c:v>
                </c:pt>
                <c:pt idx="1">
                  <c:v>-1.5463221325010323E-2</c:v>
                </c:pt>
                <c:pt idx="2">
                  <c:v>4.7079533322607503E-2</c:v>
                </c:pt>
                <c:pt idx="3">
                  <c:v>-2.9881579859127649E-2</c:v>
                </c:pt>
                <c:pt idx="4">
                  <c:v>7.6037657262030045E-2</c:v>
                </c:pt>
                <c:pt idx="5">
                  <c:v>1.3127434608526167E-2</c:v>
                </c:pt>
                <c:pt idx="6">
                  <c:v>0.14239298354272889</c:v>
                </c:pt>
                <c:pt idx="7">
                  <c:v>3.6515077202609048E-2</c:v>
                </c:pt>
                <c:pt idx="8">
                  <c:v>2.0818653023502609E-2</c:v>
                </c:pt>
                <c:pt idx="9">
                  <c:v>3.2165973974262574E-2</c:v>
                </c:pt>
                <c:pt idx="10">
                  <c:v>4.7013518763022066E-2</c:v>
                </c:pt>
                <c:pt idx="11">
                  <c:v>5.3197891983369328E-2</c:v>
                </c:pt>
                <c:pt idx="12">
                  <c:v>3.5475424558858659E-2</c:v>
                </c:pt>
                <c:pt idx="13">
                  <c:v>6.4273969100186124E-2</c:v>
                </c:pt>
                <c:pt idx="14">
                  <c:v>5.0606629247550217E-2</c:v>
                </c:pt>
                <c:pt idx="15">
                  <c:v>5.9048484044573968E-2</c:v>
                </c:pt>
                <c:pt idx="16">
                  <c:v>4.0578667559627135E-2</c:v>
                </c:pt>
                <c:pt idx="17">
                  <c:v>6.0706266729799951E-2</c:v>
                </c:pt>
                <c:pt idx="18">
                  <c:v>4.014087871507388E-2</c:v>
                </c:pt>
                <c:pt idx="19">
                  <c:v>7.6562769620496685E-2</c:v>
                </c:pt>
                <c:pt idx="20">
                  <c:v>3.5850175827657482E-2</c:v>
                </c:pt>
                <c:pt idx="21">
                  <c:v>3.1534485223729591E-2</c:v>
                </c:pt>
                <c:pt idx="22">
                  <c:v>2.9254087796199091E-2</c:v>
                </c:pt>
                <c:pt idx="23">
                  <c:v>3.3781070157198112E-2</c:v>
                </c:pt>
                <c:pt idx="24">
                  <c:v>4.7163858306436261E-2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7959680"/>
        <c:axId val="177961216"/>
      </c:barChart>
      <c:lineChart>
        <c:grouping val="standard"/>
        <c:varyColors val="0"/>
        <c:ser>
          <c:idx val="0"/>
          <c:order val="0"/>
          <c:tx>
            <c:strRef>
              <c:f>Лист1!$C$338</c:f>
              <c:strCache>
                <c:ptCount val="1"/>
                <c:pt idx="0">
                  <c:v>В тенге</c:v>
                </c:pt>
              </c:strCache>
            </c:strRef>
          </c:tx>
          <c:spPr>
            <a:ln w="19050">
              <a:solidFill>
                <a:srgbClr val="151AF1"/>
              </a:solidFill>
            </a:ln>
          </c:spPr>
          <c:marker>
            <c:symbol val="diamond"/>
            <c:size val="2"/>
          </c:marker>
          <c:cat>
            <c:numRef>
              <c:f>Лист1!$D$335:$AC$337</c:f>
              <c:numCache>
                <c:formatCode>m/d/yyyy</c:formatCode>
                <c:ptCount val="26"/>
                <c:pt idx="0">
                  <c:v>39539</c:v>
                </c:pt>
                <c:pt idx="1">
                  <c:v>39630</c:v>
                </c:pt>
                <c:pt idx="2">
                  <c:v>39722</c:v>
                </c:pt>
                <c:pt idx="3">
                  <c:v>39814</c:v>
                </c:pt>
                <c:pt idx="4">
                  <c:v>39904</c:v>
                </c:pt>
                <c:pt idx="5">
                  <c:v>39995</c:v>
                </c:pt>
                <c:pt idx="6">
                  <c:v>40087</c:v>
                </c:pt>
                <c:pt idx="7">
                  <c:v>40179</c:v>
                </c:pt>
                <c:pt idx="8">
                  <c:v>40269</c:v>
                </c:pt>
                <c:pt idx="9">
                  <c:v>40360</c:v>
                </c:pt>
                <c:pt idx="10">
                  <c:v>40452</c:v>
                </c:pt>
                <c:pt idx="11">
                  <c:v>40544</c:v>
                </c:pt>
                <c:pt idx="12">
                  <c:v>40634</c:v>
                </c:pt>
                <c:pt idx="13">
                  <c:v>40725</c:v>
                </c:pt>
                <c:pt idx="14">
                  <c:v>40817</c:v>
                </c:pt>
                <c:pt idx="15">
                  <c:v>40909</c:v>
                </c:pt>
                <c:pt idx="16">
                  <c:v>41000</c:v>
                </c:pt>
                <c:pt idx="17">
                  <c:v>41091</c:v>
                </c:pt>
                <c:pt idx="18">
                  <c:v>41183</c:v>
                </c:pt>
                <c:pt idx="19">
                  <c:v>41275</c:v>
                </c:pt>
                <c:pt idx="20">
                  <c:v>41365</c:v>
                </c:pt>
                <c:pt idx="21">
                  <c:v>41456</c:v>
                </c:pt>
                <c:pt idx="22">
                  <c:v>41548</c:v>
                </c:pt>
                <c:pt idx="23">
                  <c:v>41640</c:v>
                </c:pt>
                <c:pt idx="24">
                  <c:v>41730</c:v>
                </c:pt>
              </c:numCache>
            </c:numRef>
          </c:cat>
          <c:val>
            <c:numRef>
              <c:f>Лист1!$D$338:$AC$338</c:f>
              <c:numCache>
                <c:formatCode>0.00%</c:formatCode>
                <c:ptCount val="26"/>
                <c:pt idx="0">
                  <c:v>3.9015620935453646E-2</c:v>
                </c:pt>
                <c:pt idx="1">
                  <c:v>-4.1395919384260311E-3</c:v>
                </c:pt>
                <c:pt idx="2">
                  <c:v>7.5008402765631477E-2</c:v>
                </c:pt>
                <c:pt idx="3">
                  <c:v>-0.1320397014628496</c:v>
                </c:pt>
                <c:pt idx="4">
                  <c:v>-0.28626367577135675</c:v>
                </c:pt>
                <c:pt idx="5">
                  <c:v>0.12586804173561711</c:v>
                </c:pt>
                <c:pt idx="6">
                  <c:v>9.086234490029238E-2</c:v>
                </c:pt>
                <c:pt idx="7">
                  <c:v>0.10034382737891304</c:v>
                </c:pt>
                <c:pt idx="8">
                  <c:v>0.15303402621540196</c:v>
                </c:pt>
                <c:pt idx="9">
                  <c:v>9.9612437020105457E-2</c:v>
                </c:pt>
                <c:pt idx="10">
                  <c:v>5.4488115843857779E-2</c:v>
                </c:pt>
                <c:pt idx="11">
                  <c:v>0.11133653021736382</c:v>
                </c:pt>
                <c:pt idx="12">
                  <c:v>6.1821067399739922E-2</c:v>
                </c:pt>
                <c:pt idx="13">
                  <c:v>7.7710104258527882E-2</c:v>
                </c:pt>
                <c:pt idx="14">
                  <c:v>5.7824109916233372E-2</c:v>
                </c:pt>
                <c:pt idx="15">
                  <c:v>5.6401017495055036E-2</c:v>
                </c:pt>
                <c:pt idx="16">
                  <c:v>2.8578757519493528E-2</c:v>
                </c:pt>
                <c:pt idx="17">
                  <c:v>5.9457576668380682E-2</c:v>
                </c:pt>
                <c:pt idx="18">
                  <c:v>4.1886078981724334E-2</c:v>
                </c:pt>
                <c:pt idx="19">
                  <c:v>0.12163605412439479</c:v>
                </c:pt>
                <c:pt idx="20">
                  <c:v>4.3097370885214058E-2</c:v>
                </c:pt>
                <c:pt idx="21">
                  <c:v>2.6299583048346623E-2</c:v>
                </c:pt>
                <c:pt idx="22">
                  <c:v>-5.2903314313136038E-2</c:v>
                </c:pt>
                <c:pt idx="23">
                  <c:v>5.0826671578923593E-2</c:v>
                </c:pt>
                <c:pt idx="24">
                  <c:v>-0.14695436640542678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Лист1!$C$339</c:f>
              <c:strCache>
                <c:ptCount val="1"/>
                <c:pt idx="0">
                  <c:v>В иностранной валюте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diamond"/>
            <c:size val="2"/>
          </c:marker>
          <c:cat>
            <c:numRef>
              <c:f>Лист1!$D$335:$AC$337</c:f>
              <c:numCache>
                <c:formatCode>m/d/yyyy</c:formatCode>
                <c:ptCount val="26"/>
                <c:pt idx="0">
                  <c:v>39539</c:v>
                </c:pt>
                <c:pt idx="1">
                  <c:v>39630</c:v>
                </c:pt>
                <c:pt idx="2">
                  <c:v>39722</c:v>
                </c:pt>
                <c:pt idx="3">
                  <c:v>39814</c:v>
                </c:pt>
                <c:pt idx="4">
                  <c:v>39904</c:v>
                </c:pt>
                <c:pt idx="5">
                  <c:v>39995</c:v>
                </c:pt>
                <c:pt idx="6">
                  <c:v>40087</c:v>
                </c:pt>
                <c:pt idx="7">
                  <c:v>40179</c:v>
                </c:pt>
                <c:pt idx="8">
                  <c:v>40269</c:v>
                </c:pt>
                <c:pt idx="9">
                  <c:v>40360</c:v>
                </c:pt>
                <c:pt idx="10">
                  <c:v>40452</c:v>
                </c:pt>
                <c:pt idx="11">
                  <c:v>40544</c:v>
                </c:pt>
                <c:pt idx="12">
                  <c:v>40634</c:v>
                </c:pt>
                <c:pt idx="13">
                  <c:v>40725</c:v>
                </c:pt>
                <c:pt idx="14">
                  <c:v>40817</c:v>
                </c:pt>
                <c:pt idx="15">
                  <c:v>40909</c:v>
                </c:pt>
                <c:pt idx="16">
                  <c:v>41000</c:v>
                </c:pt>
                <c:pt idx="17">
                  <c:v>41091</c:v>
                </c:pt>
                <c:pt idx="18">
                  <c:v>41183</c:v>
                </c:pt>
                <c:pt idx="19">
                  <c:v>41275</c:v>
                </c:pt>
                <c:pt idx="20">
                  <c:v>41365</c:v>
                </c:pt>
                <c:pt idx="21">
                  <c:v>41456</c:v>
                </c:pt>
                <c:pt idx="22">
                  <c:v>41548</c:v>
                </c:pt>
                <c:pt idx="23">
                  <c:v>41640</c:v>
                </c:pt>
                <c:pt idx="24">
                  <c:v>41730</c:v>
                </c:pt>
              </c:numCache>
            </c:numRef>
          </c:cat>
          <c:val>
            <c:numRef>
              <c:f>Лист1!$D$339:$AC$339</c:f>
              <c:numCache>
                <c:formatCode>0.00%</c:formatCode>
                <c:ptCount val="26"/>
                <c:pt idx="0">
                  <c:v>3.0827752680126323E-2</c:v>
                </c:pt>
                <c:pt idx="1">
                  <c:v>-3.4386494346289959E-2</c:v>
                </c:pt>
                <c:pt idx="2">
                  <c:v>-1.0552586941395355E-3</c:v>
                </c:pt>
                <c:pt idx="3">
                  <c:v>0.15959216401623832</c:v>
                </c:pt>
                <c:pt idx="4">
                  <c:v>0.5790060083165437</c:v>
                </c:pt>
                <c:pt idx="5">
                  <c:v>-5.7619090431645689E-2</c:v>
                </c:pt>
                <c:pt idx="6">
                  <c:v>0.18102534718988195</c:v>
                </c:pt>
                <c:pt idx="7">
                  <c:v>-7.6839619595314426E-3</c:v>
                </c:pt>
                <c:pt idx="8">
                  <c:v>-8.0702570655833056E-2</c:v>
                </c:pt>
                <c:pt idx="9">
                  <c:v>-3.2790156632928266E-2</c:v>
                </c:pt>
                <c:pt idx="10">
                  <c:v>3.8829479787215973E-2</c:v>
                </c:pt>
                <c:pt idx="11">
                  <c:v>-1.1418424147103975E-2</c:v>
                </c:pt>
                <c:pt idx="12">
                  <c:v>2.5585061234379711E-3</c:v>
                </c:pt>
                <c:pt idx="13">
                  <c:v>4.6494188812371391E-2</c:v>
                </c:pt>
                <c:pt idx="14">
                  <c:v>4.0770985755074589E-2</c:v>
                </c:pt>
                <c:pt idx="15">
                  <c:v>6.2715441873912037E-2</c:v>
                </c:pt>
                <c:pt idx="16">
                  <c:v>4.6609968559954808E-3</c:v>
                </c:pt>
                <c:pt idx="17">
                  <c:v>6.245311222275584E-2</c:v>
                </c:pt>
                <c:pt idx="18">
                  <c:v>3.7706327543303282E-2</c:v>
                </c:pt>
                <c:pt idx="19">
                  <c:v>1.3432359087940944E-2</c:v>
                </c:pt>
                <c:pt idx="20">
                  <c:v>2.4615862010089876E-2</c:v>
                </c:pt>
                <c:pt idx="21">
                  <c:v>3.9795795756476904E-2</c:v>
                </c:pt>
                <c:pt idx="22">
                  <c:v>0.15722556113953981</c:v>
                </c:pt>
                <c:pt idx="23">
                  <c:v>1.4907159710523967E-2</c:v>
                </c:pt>
                <c:pt idx="24">
                  <c:v>0.29387382483381214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952256"/>
        <c:axId val="177953792"/>
      </c:lineChart>
      <c:dateAx>
        <c:axId val="177952256"/>
        <c:scaling>
          <c:orientation val="minMax"/>
        </c:scaling>
        <c:delete val="0"/>
        <c:axPos val="b"/>
        <c:minorGridlines>
          <c:spPr>
            <a:ln w="3175">
              <a:prstDash val="dash"/>
            </a:ln>
          </c:spPr>
        </c:minorGridlines>
        <c:numFmt formatCode="dd/mm/yy;@" sourceLinked="0"/>
        <c:majorTickMark val="out"/>
        <c:minorTickMark val="none"/>
        <c:tickLblPos val="low"/>
        <c:txPr>
          <a:bodyPr rot="-2700000" vert="horz"/>
          <a:lstStyle/>
          <a:p>
            <a:pPr>
              <a:defRPr sz="800"/>
            </a:pPr>
            <a:endParaRPr lang="ru-RU"/>
          </a:p>
        </c:txPr>
        <c:crossAx val="177953792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177953792"/>
        <c:scaling>
          <c:orientation val="minMax"/>
          <c:max val="0.60000000000000009"/>
          <c:min val="-0.30000000000000004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77952256"/>
        <c:crosses val="autoZero"/>
        <c:crossBetween val="between"/>
        <c:majorUnit val="0.1"/>
        <c:minorUnit val="1.0000000000000002E-2"/>
      </c:valAx>
      <c:dateAx>
        <c:axId val="17795968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77961216"/>
        <c:crosses val="autoZero"/>
        <c:auto val="1"/>
        <c:lblOffset val="100"/>
        <c:baseTimeUnit val="months"/>
      </c:dateAx>
      <c:valAx>
        <c:axId val="177961216"/>
        <c:scaling>
          <c:orientation val="minMax"/>
          <c:max val="0.60000000000000009"/>
          <c:min val="-0.30000000000000004"/>
        </c:scaling>
        <c:delete val="1"/>
        <c:axPos val="r"/>
        <c:numFmt formatCode="0%" sourceLinked="0"/>
        <c:majorTickMark val="out"/>
        <c:minorTickMark val="none"/>
        <c:tickLblPos val="nextTo"/>
        <c:crossAx val="177959680"/>
        <c:crosses val="max"/>
        <c:crossBetween val="between"/>
        <c:majorUnit val="0.1"/>
        <c:minorUnit val="1.0000000000000002E-2"/>
      </c:valAx>
    </c:plotArea>
    <c:legend>
      <c:legendPos val="r"/>
      <c:layout>
        <c:manualLayout>
          <c:xMode val="edge"/>
          <c:yMode val="edge"/>
          <c:x val="0.358324891995488"/>
          <c:y val="4.2848580145903446E-2"/>
          <c:w val="0.44102485768446381"/>
          <c:h val="0.17216426177344488"/>
        </c:manualLayout>
      </c:layout>
      <c:overlay val="0"/>
      <c:txPr>
        <a:bodyPr/>
        <a:lstStyle/>
        <a:p>
          <a:pPr>
            <a:defRPr sz="900" b="1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5092059751893E-2"/>
          <c:y val="1.9986821875686362E-2"/>
          <c:w val="0.36976829748767176"/>
          <c:h val="0.96437658854644215"/>
        </c:manualLayout>
      </c:layout>
      <c:pie3DChart>
        <c:varyColors val="1"/>
        <c:ser>
          <c:idx val="0"/>
          <c:order val="0"/>
          <c:tx>
            <c:strRef>
              <c:f>'свод 01.04.14'!$B$42:$B$47</c:f>
              <c:strCache>
                <c:ptCount val="1"/>
                <c:pt idx="0">
                  <c:v>Срочные до Т5 млн. Срочные от Т5 до Т10 млн. Срочные от Т10 до Т15 млн. Срочные свыше Т15 млн. До востребования Текущие и карт-счета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'свод 01.01.14'!$B$42:$B$47</c:f>
              <c:strCache>
                <c:ptCount val="6"/>
                <c:pt idx="0">
                  <c:v>Срочные до Т5 млн.</c:v>
                </c:pt>
                <c:pt idx="1">
                  <c:v>Срочные от Т5 до Т10 млн.</c:v>
                </c:pt>
                <c:pt idx="2">
                  <c:v>Срочные от Т10 до Т15 млн.</c:v>
                </c:pt>
                <c:pt idx="3">
                  <c:v>Срочные свыше Т15 млн.</c:v>
                </c:pt>
                <c:pt idx="4">
                  <c:v>До востребования</c:v>
                </c:pt>
                <c:pt idx="5">
                  <c:v>Текущие и карт-счета</c:v>
                </c:pt>
              </c:strCache>
            </c:strRef>
          </c:cat>
          <c:val>
            <c:numRef>
              <c:f>'свод 01.04.14'!$C$42:$C$47</c:f>
              <c:numCache>
                <c:formatCode>0.0%</c:formatCode>
                <c:ptCount val="6"/>
                <c:pt idx="0">
                  <c:v>0.30072233426443024</c:v>
                </c:pt>
                <c:pt idx="1">
                  <c:v>8.6779308147737821E-2</c:v>
                </c:pt>
                <c:pt idx="2">
                  <c:v>3.5638141141972793E-2</c:v>
                </c:pt>
                <c:pt idx="3">
                  <c:v>0.46985658137773789</c:v>
                </c:pt>
                <c:pt idx="4">
                  <c:v>9.3067575856286434E-3</c:v>
                </c:pt>
                <c:pt idx="5">
                  <c:v>9.7696877240455116E-2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931129271301657"/>
          <c:y val="2.416980486134888E-3"/>
          <c:w val="0.38964436810837733"/>
          <c:h val="0.94462444368366993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Georgia"/>
          <a:ea typeface="Georgia"/>
          <a:cs typeface="Georgia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988407699037623E-2"/>
          <c:y val="2.3067220764071156E-2"/>
          <c:w val="0.93290048118985125"/>
          <c:h val="0.7770563575386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Лист1!$K$8</c:f>
              <c:strCache>
                <c:ptCount val="1"/>
                <c:pt idx="0">
                  <c:v>Группа А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Лист1!$L$8:$P$8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Лист1!$K$9</c:f>
              <c:strCache>
                <c:ptCount val="1"/>
                <c:pt idx="0">
                  <c:v>Группа 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Лист1!$L$9:$P$9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Лист1!$K$10</c:f>
              <c:strCache>
                <c:ptCount val="1"/>
                <c:pt idx="0">
                  <c:v>Группа C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Лист1!$L$10:$P$10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16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Лист1!$K$11</c:f>
              <c:strCache>
                <c:ptCount val="1"/>
                <c:pt idx="0">
                  <c:v>Группа D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Лист1!$L$11:$P$11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Лист1!$K$12</c:f>
              <c:strCache>
                <c:ptCount val="1"/>
                <c:pt idx="0">
                  <c:v>Группа E</c:v>
                </c:pt>
              </c:strCache>
            </c:strRef>
          </c:tx>
          <c:spPr>
            <a:solidFill>
              <a:srgbClr val="5237F3"/>
            </a:solidFill>
          </c:spPr>
          <c:invertIfNegative val="0"/>
          <c:dLbls>
            <c:dLbl>
              <c:idx val="3"/>
              <c:layout>
                <c:manualLayout>
                  <c:x val="-2.7777777777777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Лист1!$L$12:$P$12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Лист1!$K$13</c:f>
              <c:strCache>
                <c:ptCount val="1"/>
                <c:pt idx="0">
                  <c:v>Группа 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Лист1!$L$13:$P$13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78298880"/>
        <c:axId val="178300416"/>
      </c:barChart>
      <c:catAx>
        <c:axId val="178298880"/>
        <c:scaling>
          <c:orientation val="minMax"/>
        </c:scaling>
        <c:delete val="0"/>
        <c:axPos val="l"/>
        <c:minorGridlines>
          <c:spPr>
            <a:ln>
              <a:noFill/>
            </a:ln>
          </c:spPr>
        </c:minorGridlines>
        <c:majorTickMark val="none"/>
        <c:minorTickMark val="none"/>
        <c:tickLblPos val="nextTo"/>
        <c:txPr>
          <a:bodyPr/>
          <a:lstStyle/>
          <a:p>
            <a:pPr>
              <a:defRPr sz="9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300416"/>
        <c:crosses val="autoZero"/>
        <c:auto val="1"/>
        <c:lblAlgn val="ctr"/>
        <c:lblOffset val="100"/>
        <c:noMultiLvlLbl val="0"/>
      </c:catAx>
      <c:valAx>
        <c:axId val="178300416"/>
        <c:scaling>
          <c:orientation val="minMax"/>
          <c:max val="36"/>
          <c:min val="0"/>
        </c:scaling>
        <c:delete val="0"/>
        <c:axPos val="b"/>
        <c:majorGridlines>
          <c:spPr>
            <a:ln w="3175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2988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0.24032</cdr:x>
      <cdr:y>0.87938</cdr:y>
    </cdr:from>
    <cdr:to>
      <cdr:x>0.36759</cdr:x>
      <cdr:y>0.96887</cdr:y>
    </cdr:to>
    <cdr:sp macro="" textlink="">
      <cdr:nvSpPr>
        <cdr:cNvPr id="3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58240" y="2152650"/>
          <a:ext cx="613410" cy="2190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1000" i="1">
              <a:latin typeface="Times New Roman" pitchFamily="18" charset="0"/>
              <a:cs typeface="Times New Roman" pitchFamily="18" charset="0"/>
            </a:rPr>
            <a:t>B</a:t>
          </a:r>
          <a:r>
            <a:rPr lang="en-US" sz="1000" i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kk-KZ" sz="1000" i="1" baseline="0">
              <a:latin typeface="Times New Roman" pitchFamily="18" charset="0"/>
              <a:cs typeface="Times New Roman" pitchFamily="18" charset="0"/>
            </a:rPr>
            <a:t>тобы</a:t>
          </a:r>
          <a:endParaRPr lang="ru-RU" sz="1000" i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0.68366</cdr:x>
      <cdr:y>0.87938</cdr:y>
    </cdr:from>
    <cdr:to>
      <cdr:x>0.8141</cdr:x>
      <cdr:y>0.96887</cdr:y>
    </cdr:to>
    <cdr:sp macro="" textlink="">
      <cdr:nvSpPr>
        <cdr:cNvPr id="4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95015" y="2152650"/>
          <a:ext cx="628650" cy="2190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1000" i="1">
              <a:latin typeface="Times New Roman" pitchFamily="18" charset="0"/>
              <a:cs typeface="Times New Roman" pitchFamily="18" charset="0"/>
            </a:rPr>
            <a:t>E </a:t>
          </a:r>
          <a:r>
            <a:rPr lang="kk-KZ" sz="1000" i="1">
              <a:latin typeface="Times New Roman" pitchFamily="18" charset="0"/>
              <a:cs typeface="Times New Roman" pitchFamily="18" charset="0"/>
            </a:rPr>
            <a:t>тобы</a:t>
          </a:r>
          <a:endParaRPr lang="ru-RU" sz="1000" i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0.53544</cdr:x>
      <cdr:y>0.87938</cdr:y>
    </cdr:from>
    <cdr:to>
      <cdr:x>0.66588</cdr:x>
      <cdr:y>0.96887</cdr:y>
    </cdr:to>
    <cdr:sp macro="" textlink="">
      <cdr:nvSpPr>
        <cdr:cNvPr id="5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80640" y="2152650"/>
          <a:ext cx="628650" cy="2190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1000" i="1">
              <a:latin typeface="Times New Roman" pitchFamily="18" charset="0"/>
              <a:cs typeface="Times New Roman" pitchFamily="18" charset="0"/>
            </a:rPr>
            <a:t>D </a:t>
          </a:r>
          <a:r>
            <a:rPr lang="kk-KZ" sz="1000" i="1">
              <a:latin typeface="Times New Roman" pitchFamily="18" charset="0"/>
              <a:cs typeface="Times New Roman" pitchFamily="18" charset="0"/>
            </a:rPr>
            <a:t>тобы</a:t>
          </a:r>
          <a:endParaRPr lang="ru-RU" sz="1000" i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0.38524</cdr:x>
      <cdr:y>0.88327</cdr:y>
    </cdr:from>
    <cdr:to>
      <cdr:x>0.51568</cdr:x>
      <cdr:y>0.97276</cdr:y>
    </cdr:to>
    <cdr:sp macro="" textlink="">
      <cdr:nvSpPr>
        <cdr:cNvPr id="6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6740" y="2162175"/>
          <a:ext cx="628650" cy="2190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1000" i="1">
              <a:latin typeface="Times New Roman" pitchFamily="18" charset="0"/>
              <a:cs typeface="Times New Roman" pitchFamily="18" charset="0"/>
            </a:rPr>
            <a:t>C</a:t>
          </a:r>
          <a:r>
            <a:rPr lang="en-US" sz="1000" i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kk-KZ" sz="1000" i="1" baseline="0">
              <a:latin typeface="Times New Roman" pitchFamily="18" charset="0"/>
              <a:cs typeface="Times New Roman" pitchFamily="18" charset="0"/>
            </a:rPr>
            <a:t>тобы</a:t>
          </a:r>
          <a:endParaRPr lang="ru-RU" sz="1000" i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0.83254</cdr:x>
      <cdr:y>0.87938</cdr:y>
    </cdr:from>
    <cdr:to>
      <cdr:x>0.96298</cdr:x>
      <cdr:y>0.96887</cdr:y>
    </cdr:to>
    <cdr:sp macro="" textlink="">
      <cdr:nvSpPr>
        <cdr:cNvPr id="7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12565" y="2152650"/>
          <a:ext cx="628650" cy="2190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1000" i="1">
              <a:latin typeface="Times New Roman" pitchFamily="18" charset="0"/>
              <a:cs typeface="Times New Roman" pitchFamily="18" charset="0"/>
            </a:rPr>
            <a:t>S </a:t>
          </a:r>
          <a:r>
            <a:rPr lang="ru-RU" sz="1000" i="1">
              <a:latin typeface="Times New Roman" pitchFamily="18" charset="0"/>
              <a:cs typeface="Times New Roman" pitchFamily="18" charset="0"/>
            </a:rPr>
            <a:t>тобы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Майра</cp:lastModifiedBy>
  <cp:revision>26</cp:revision>
  <cp:lastPrinted>2015-03-12T05:35:00Z</cp:lastPrinted>
  <dcterms:created xsi:type="dcterms:W3CDTF">2015-01-16T04:20:00Z</dcterms:created>
  <dcterms:modified xsi:type="dcterms:W3CDTF">2015-03-13T03:13:00Z</dcterms:modified>
</cp:coreProperties>
</file>