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64" w:rsidRPr="00D84489" w:rsidRDefault="00CD1E64" w:rsidP="005D6381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Пояснение по заполнению формы отчета «</w:t>
      </w:r>
      <w:r w:rsidR="00126A47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Сведения о ставках вознаграждения по привлечённым (вкладам) депозитам физических лиц банков-участников и объемах привлечения за отчетный месяц</w:t>
      </w:r>
      <w:r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» согласно Приложению </w:t>
      </w:r>
      <w:r w:rsidR="00530089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9</w:t>
      </w:r>
      <w:r w:rsidR="00B26403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-2</w:t>
      </w:r>
      <w:r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 </w:t>
      </w:r>
      <w:r w:rsidR="00530089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Правилам</w:t>
      </w:r>
      <w:r w:rsidR="00530089" w:rsidRPr="00D84489">
        <w:rPr>
          <w:rStyle w:val="a5"/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footnoteReference w:id="1"/>
      </w:r>
    </w:p>
    <w:p w:rsidR="007F76F3" w:rsidRPr="00D84489" w:rsidRDefault="007F76F3" w:rsidP="005D6381">
      <w:pPr>
        <w:autoSpaceDE w:val="0"/>
        <w:autoSpaceDN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6403" w:rsidRPr="00D84489" w:rsidRDefault="00CD1E64" w:rsidP="005D6381">
      <w:pPr>
        <w:autoSpaceDE w:val="0"/>
        <w:autoSpaceDN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44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A74B42" w:rsidRPr="00777040" w:rsidRDefault="00A74B42" w:rsidP="003D4E0E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Банки-участники системы гарантирования депозитов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ежемесячно в срок до пятнадцатого числа месяца, следующего за отчетным месяцем, включительно,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представляют АО «КФГД»,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электронном виде по каналу связи ФАСТИ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сведения по форме согласно Приложению 9-2</w:t>
      </w:r>
      <w:r w:rsidR="003D4E0E"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«Сведения о ставках вознаграждения по привлечённым (вкладам) депозитам физических лиц банков-участников и объемах привлечения за отчетный месяц»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Правилам (далее – отчет)</w:t>
      </w:r>
      <w:r w:rsidR="005E69CC"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формате </w:t>
      </w:r>
      <w:r w:rsidR="005E69CC" w:rsidRPr="007770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Excel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A74B42" w:rsidRPr="00681ED0" w:rsidRDefault="00A74B42" w:rsidP="00D61B0A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ED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Совета директоров Фонда №</w:t>
      </w:r>
      <w:r w:rsidR="00F37C0C" w:rsidRPr="00681ED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81ED0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625F1E" w:rsidRPr="00681E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C0C" w:rsidRPr="00681ED0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902CCB" w:rsidRPr="00681E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7C0C" w:rsidRPr="00681ED0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902CCB" w:rsidRPr="00681E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81ED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37C0C" w:rsidRPr="00681ED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81ED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банки-участники должны будут предоставлять в Фонд отчет по измененной форме </w:t>
      </w:r>
      <w:r w:rsidR="00D61B0A" w:rsidRPr="00681ED0">
        <w:rPr>
          <w:rFonts w:ascii="Times New Roman" w:eastAsia="Times New Roman" w:hAnsi="Times New Roman"/>
          <w:sz w:val="24"/>
          <w:szCs w:val="24"/>
          <w:lang w:eastAsia="ru-RU"/>
        </w:rPr>
        <w:t xml:space="preserve">с отчета </w:t>
      </w:r>
      <w:r w:rsidR="00D61B0A"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состоянию на 1 </w:t>
      </w:r>
      <w:r w:rsidR="00F37C0C"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>июля</w:t>
      </w:r>
      <w:r w:rsidR="00D61B0A"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 года</w:t>
      </w:r>
      <w:r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то есть с отчета за </w:t>
      </w:r>
      <w:r w:rsidR="00F37C0C"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>июн</w:t>
      </w:r>
      <w:r w:rsidR="00D61B0A"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625F1E"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D61B0A"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81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</w:p>
    <w:p w:rsidR="00266B26" w:rsidRPr="00777040" w:rsidRDefault="00A74B42" w:rsidP="00266B26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необходимые для заполнения ячейки должны быть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числовом формате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66B26" w:rsidRPr="00777040" w:rsidRDefault="00266B26" w:rsidP="00266B26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расчете ГЭСВ полученное число имеет более одного десятичного знака, оно подлежит округлению </w:t>
      </w:r>
      <w:r w:rsidRPr="00777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десятых долей</w:t>
      </w: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образом:</w:t>
      </w:r>
    </w:p>
    <w:p w:rsidR="00266B26" w:rsidRPr="00777040" w:rsidRDefault="00266B26" w:rsidP="00266B26">
      <w:pPr>
        <w:autoSpaceDE w:val="0"/>
        <w:autoSpaceDN w:val="0"/>
        <w:ind w:left="720" w:right="12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>- если сотая доля больше или равна 5, десятая доля увеличивается на 1, все следующие за ней знаки исключаются;</w:t>
      </w:r>
    </w:p>
    <w:p w:rsidR="007036FE" w:rsidRPr="00777040" w:rsidRDefault="00266B26" w:rsidP="00266B26">
      <w:pPr>
        <w:autoSpaceDE w:val="0"/>
        <w:autoSpaceDN w:val="0"/>
        <w:ind w:left="720" w:right="12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>- если сотая доля меньше 5, десятая доля остается без изменений, все следующие за ней знаки исключаются.</w:t>
      </w:r>
      <w:r w:rsidR="007C284E" w:rsidRPr="007770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284E" w:rsidRPr="007770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74B42" w:rsidRPr="00777040" w:rsidRDefault="00A74B42" w:rsidP="00A74B42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сведений в соответствующих ячейках отчета, ячейки не заполняются.</w:t>
      </w:r>
    </w:p>
    <w:p w:rsidR="00C51332" w:rsidRPr="00777040" w:rsidRDefault="00C51332" w:rsidP="00C51332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отсутствия депозитов по одной или нескольким категориям, графы и соответствующие сроки не подлежат заполнению. Графы остаются пустыми (</w:t>
      </w:r>
      <w:proofErr w:type="spellStart"/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пустограф</w:t>
      </w:r>
      <w:proofErr w:type="spellEnd"/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A74B42" w:rsidRPr="00777040" w:rsidRDefault="00A74B42" w:rsidP="00A74B42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строго соблюдать формат отчета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6A47" w:rsidRPr="00777040" w:rsidRDefault="00126A47" w:rsidP="00126A47">
      <w:p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A47" w:rsidRPr="00777040" w:rsidRDefault="00126A47" w:rsidP="00126A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77040">
        <w:rPr>
          <w:rFonts w:ascii="Times New Roman" w:hAnsi="Times New Roman"/>
          <w:b/>
          <w:bCs/>
          <w:sz w:val="24"/>
          <w:szCs w:val="24"/>
        </w:rPr>
        <w:t>Заполнение данных по Форме 1 отчета</w:t>
      </w:r>
    </w:p>
    <w:p w:rsidR="004B04C7" w:rsidRPr="00777040" w:rsidRDefault="004B04C7" w:rsidP="004B04C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Форма 1 отчета </w:t>
      </w:r>
      <w:r w:rsidR="00C06D86" w:rsidRPr="00777040">
        <w:rPr>
          <w:rFonts w:ascii="Times New Roman" w:hAnsi="Times New Roman"/>
          <w:bCs/>
          <w:sz w:val="24"/>
          <w:szCs w:val="24"/>
        </w:rPr>
        <w:t xml:space="preserve">заполняется </w:t>
      </w:r>
      <w:r w:rsidRPr="00777040">
        <w:rPr>
          <w:rFonts w:ascii="Times New Roman" w:hAnsi="Times New Roman"/>
          <w:bCs/>
          <w:sz w:val="24"/>
          <w:szCs w:val="24"/>
        </w:rPr>
        <w:t>по привлечённым (вкладам) депозитам физических лиц с фиксированной процентной ставкой банков-участников.</w:t>
      </w:r>
    </w:p>
    <w:p w:rsidR="00126A47" w:rsidRPr="00777040" w:rsidRDefault="00126A47" w:rsidP="00126A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«Объем вновь привлеченных вкладов (депозитов)» – </w:t>
      </w:r>
      <w:r w:rsidRPr="00777040">
        <w:rPr>
          <w:rFonts w:ascii="Times New Roman" w:hAnsi="Times New Roman"/>
          <w:sz w:val="24"/>
          <w:szCs w:val="24"/>
        </w:rPr>
        <w:t>указывается о</w:t>
      </w:r>
      <w:r w:rsidRPr="00777040">
        <w:rPr>
          <w:rFonts w:ascii="Times New Roman" w:hAnsi="Times New Roman"/>
          <w:bCs/>
          <w:sz w:val="24"/>
          <w:szCs w:val="24"/>
        </w:rPr>
        <w:t xml:space="preserve">бъем вкладов (депозитов) банка-участника, привлеченный за отчетный месяц по каждой категории </w:t>
      </w:r>
      <w:r w:rsidR="00DD48B8" w:rsidRPr="00777040">
        <w:rPr>
          <w:rFonts w:ascii="Times New Roman" w:hAnsi="Times New Roman"/>
          <w:bCs/>
          <w:sz w:val="24"/>
          <w:szCs w:val="24"/>
        </w:rPr>
        <w:t xml:space="preserve">вклада </w:t>
      </w:r>
      <w:r w:rsidRPr="00777040">
        <w:rPr>
          <w:rFonts w:ascii="Times New Roman" w:hAnsi="Times New Roman"/>
          <w:bCs/>
          <w:sz w:val="24"/>
          <w:szCs w:val="24"/>
        </w:rPr>
        <w:t>с фиксированной процентной ставкой.</w:t>
      </w:r>
      <w:r w:rsidR="00DE3E54" w:rsidRPr="00777040">
        <w:rPr>
          <w:rFonts w:ascii="Times New Roman" w:hAnsi="Times New Roman"/>
          <w:bCs/>
          <w:sz w:val="24"/>
          <w:szCs w:val="24"/>
        </w:rPr>
        <w:t xml:space="preserve"> </w:t>
      </w:r>
      <w:r w:rsidR="0066731D" w:rsidRPr="00777040">
        <w:rPr>
          <w:rFonts w:ascii="Times New Roman" w:hAnsi="Times New Roman"/>
          <w:bCs/>
          <w:sz w:val="24"/>
          <w:szCs w:val="24"/>
        </w:rPr>
        <w:t xml:space="preserve">При расчете объема вновь привлеченных депозитов за отчетный месяц учитываются </w:t>
      </w:r>
      <w:r w:rsidR="0066731D" w:rsidRPr="00777040">
        <w:rPr>
          <w:rFonts w:ascii="Times New Roman" w:hAnsi="Times New Roman"/>
          <w:b/>
          <w:bCs/>
          <w:sz w:val="24"/>
          <w:szCs w:val="24"/>
        </w:rPr>
        <w:t xml:space="preserve">все </w:t>
      </w:r>
      <w:r w:rsidR="00E35BC0" w:rsidRPr="00777040">
        <w:rPr>
          <w:rFonts w:ascii="Times New Roman" w:hAnsi="Times New Roman"/>
          <w:b/>
          <w:bCs/>
          <w:sz w:val="24"/>
          <w:szCs w:val="24"/>
        </w:rPr>
        <w:t>п</w:t>
      </w:r>
      <w:r w:rsidR="00CF4136" w:rsidRPr="00777040">
        <w:rPr>
          <w:rFonts w:ascii="Times New Roman" w:hAnsi="Times New Roman"/>
          <w:b/>
          <w:bCs/>
          <w:sz w:val="24"/>
          <w:szCs w:val="24"/>
        </w:rPr>
        <w:t>ри</w:t>
      </w:r>
      <w:r w:rsidR="00E35BC0" w:rsidRPr="00777040">
        <w:rPr>
          <w:rFonts w:ascii="Times New Roman" w:hAnsi="Times New Roman"/>
          <w:b/>
          <w:bCs/>
          <w:sz w:val="24"/>
          <w:szCs w:val="24"/>
        </w:rPr>
        <w:t>токи</w:t>
      </w:r>
      <w:r w:rsidR="00E35BC0" w:rsidRPr="00777040">
        <w:rPr>
          <w:rFonts w:ascii="Times New Roman" w:hAnsi="Times New Roman"/>
          <w:bCs/>
          <w:sz w:val="24"/>
          <w:szCs w:val="24"/>
        </w:rPr>
        <w:t xml:space="preserve"> по вновь привлеченному депозиту за отчетный месяц.</w:t>
      </w:r>
    </w:p>
    <w:p w:rsidR="003574DF" w:rsidRPr="00DD4526" w:rsidRDefault="003574DF" w:rsidP="003574DF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DD4526">
        <w:rPr>
          <w:rFonts w:ascii="Times New Roman" w:hAnsi="Times New Roman"/>
          <w:bCs/>
          <w:sz w:val="24"/>
          <w:szCs w:val="24"/>
        </w:rPr>
        <w:t xml:space="preserve">Вновь привлеченные депозиты в иностранной валюте с </w:t>
      </w:r>
      <w:r w:rsidRPr="00777040">
        <w:rPr>
          <w:rFonts w:ascii="Times New Roman" w:hAnsi="Times New Roman"/>
          <w:bCs/>
          <w:sz w:val="24"/>
          <w:szCs w:val="24"/>
        </w:rPr>
        <w:t xml:space="preserve">фиксированной процентной </w:t>
      </w:r>
      <w:r w:rsidRPr="00DD4526">
        <w:rPr>
          <w:rFonts w:ascii="Times New Roman" w:hAnsi="Times New Roman"/>
          <w:bCs/>
          <w:sz w:val="24"/>
          <w:szCs w:val="24"/>
        </w:rPr>
        <w:t xml:space="preserve">ставкой должны быть пересчитаны по курсу НБ РК, действовавшего </w:t>
      </w:r>
      <w:r w:rsidRPr="003574DF">
        <w:rPr>
          <w:rFonts w:ascii="Times New Roman" w:hAnsi="Times New Roman"/>
          <w:b/>
          <w:bCs/>
          <w:sz w:val="24"/>
          <w:szCs w:val="24"/>
        </w:rPr>
        <w:t>на дату привлечения депозита в иностранной валюте</w:t>
      </w:r>
      <w:r w:rsidRPr="00DD4526">
        <w:rPr>
          <w:rFonts w:ascii="Times New Roman" w:hAnsi="Times New Roman"/>
          <w:bCs/>
          <w:sz w:val="24"/>
          <w:szCs w:val="24"/>
        </w:rPr>
        <w:t>.</w:t>
      </w:r>
    </w:p>
    <w:p w:rsidR="00C3265D" w:rsidRPr="00777040" w:rsidRDefault="0066186D" w:rsidP="008F749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При этом</w:t>
      </w:r>
      <w:r w:rsidR="00A67F9F" w:rsidRPr="00777040">
        <w:t xml:space="preserve"> </w:t>
      </w:r>
      <w:r w:rsidR="00A67F9F" w:rsidRPr="00777040">
        <w:rPr>
          <w:rFonts w:ascii="Times New Roman" w:hAnsi="Times New Roman"/>
          <w:bCs/>
          <w:sz w:val="24"/>
          <w:szCs w:val="24"/>
        </w:rPr>
        <w:t>по графе «Объем вновь привлеченных вкладов (депозитов)»</w:t>
      </w:r>
      <w:r w:rsidR="00C3265D" w:rsidRPr="00777040">
        <w:rPr>
          <w:rFonts w:ascii="Times New Roman" w:hAnsi="Times New Roman"/>
          <w:bCs/>
          <w:sz w:val="24"/>
          <w:szCs w:val="24"/>
        </w:rPr>
        <w:t>:</w:t>
      </w:r>
    </w:p>
    <w:p w:rsidR="0066186D" w:rsidRPr="00777040" w:rsidRDefault="00EA79FE" w:rsidP="008F749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 1) </w:t>
      </w:r>
      <w:r w:rsidR="00C21D7D">
        <w:rPr>
          <w:rFonts w:ascii="Times New Roman" w:hAnsi="Times New Roman"/>
          <w:bCs/>
          <w:sz w:val="24"/>
          <w:szCs w:val="24"/>
        </w:rPr>
        <w:t>с</w:t>
      </w:r>
      <w:r w:rsidR="00AD5EE5" w:rsidRPr="00777040">
        <w:rPr>
          <w:rFonts w:ascii="Times New Roman" w:hAnsi="Times New Roman"/>
          <w:bCs/>
          <w:sz w:val="24"/>
          <w:szCs w:val="24"/>
        </w:rPr>
        <w:t>трока 1</w:t>
      </w:r>
      <w:r w:rsidR="00C3265D" w:rsidRPr="00777040">
        <w:rPr>
          <w:rFonts w:ascii="Times New Roman" w:hAnsi="Times New Roman"/>
          <w:bCs/>
          <w:sz w:val="24"/>
          <w:szCs w:val="24"/>
        </w:rPr>
        <w:t>.</w:t>
      </w:r>
      <w:r w:rsidR="00AD5EE5" w:rsidRPr="00777040">
        <w:rPr>
          <w:rFonts w:ascii="Times New Roman" w:hAnsi="Times New Roman"/>
          <w:bCs/>
          <w:sz w:val="24"/>
          <w:szCs w:val="24"/>
        </w:rPr>
        <w:t xml:space="preserve"> «Депозиты в национальной валюте» должна быть равна сумме строк 1.1. «Депози</w:t>
      </w:r>
      <w:r w:rsidR="005D22AC" w:rsidRPr="00777040">
        <w:rPr>
          <w:rFonts w:ascii="Times New Roman" w:hAnsi="Times New Roman"/>
          <w:bCs/>
          <w:sz w:val="24"/>
          <w:szCs w:val="24"/>
        </w:rPr>
        <w:t xml:space="preserve">ты, не соответствующие условиям </w:t>
      </w:r>
      <w:r w:rsidR="00AD5EE5" w:rsidRPr="00777040">
        <w:rPr>
          <w:rFonts w:ascii="Times New Roman" w:hAnsi="Times New Roman"/>
          <w:bCs/>
          <w:sz w:val="24"/>
          <w:szCs w:val="24"/>
        </w:rPr>
        <w:t xml:space="preserve">срочности, в том числе:», 1.2. «Депозиты, соответствующие условиям срочности, с правом пополнения, в том числе:», </w:t>
      </w:r>
      <w:r w:rsidR="00C3265D" w:rsidRPr="00777040">
        <w:rPr>
          <w:rFonts w:ascii="Times New Roman" w:hAnsi="Times New Roman"/>
          <w:bCs/>
          <w:sz w:val="24"/>
          <w:szCs w:val="24"/>
        </w:rPr>
        <w:t>1.</w:t>
      </w:r>
      <w:r w:rsidR="00AD5EE5" w:rsidRPr="00777040">
        <w:rPr>
          <w:rFonts w:ascii="Times New Roman" w:hAnsi="Times New Roman"/>
          <w:bCs/>
          <w:sz w:val="24"/>
          <w:szCs w:val="24"/>
        </w:rPr>
        <w:t>3. «</w:t>
      </w:r>
      <w:r w:rsidR="00C3265D" w:rsidRPr="00777040">
        <w:rPr>
          <w:rFonts w:ascii="Times New Roman" w:hAnsi="Times New Roman"/>
          <w:bCs/>
          <w:sz w:val="24"/>
          <w:szCs w:val="24"/>
        </w:rPr>
        <w:t>Депозиты, соответствующие условиям срочности, без права пополнения, в том числе:», 1.</w:t>
      </w:r>
      <w:r w:rsidR="00AD5EE5" w:rsidRPr="00777040">
        <w:rPr>
          <w:rFonts w:ascii="Times New Roman" w:hAnsi="Times New Roman"/>
          <w:bCs/>
          <w:sz w:val="24"/>
          <w:szCs w:val="24"/>
        </w:rPr>
        <w:t>4. «</w:t>
      </w:r>
      <w:r w:rsidR="00C3265D" w:rsidRPr="00777040">
        <w:rPr>
          <w:rFonts w:ascii="Times New Roman" w:hAnsi="Times New Roman"/>
          <w:bCs/>
          <w:sz w:val="24"/>
          <w:szCs w:val="24"/>
        </w:rPr>
        <w:t>Сберегательные депозиты с правом пополнения, в том числе:», 1.5. «Сберегательные депозиты без права пополнения, в том числе:»</w:t>
      </w:r>
      <w:r w:rsidR="00AE19F4" w:rsidRPr="00777040">
        <w:rPr>
          <w:rFonts w:ascii="Times New Roman" w:hAnsi="Times New Roman"/>
          <w:bCs/>
          <w:sz w:val="24"/>
          <w:szCs w:val="24"/>
        </w:rPr>
        <w:t xml:space="preserve">, </w:t>
      </w:r>
      <w:r w:rsidR="00C3265D" w:rsidRPr="00777040">
        <w:rPr>
          <w:rFonts w:ascii="Times New Roman" w:hAnsi="Times New Roman"/>
          <w:bCs/>
          <w:sz w:val="24"/>
          <w:szCs w:val="24"/>
        </w:rPr>
        <w:t>1.6. «Текущие и карточные счета»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 и</w:t>
      </w:r>
      <w:r w:rsidR="00C3265D" w:rsidRPr="00777040">
        <w:rPr>
          <w:rFonts w:ascii="Times New Roman" w:hAnsi="Times New Roman"/>
          <w:bCs/>
          <w:sz w:val="24"/>
          <w:szCs w:val="24"/>
        </w:rPr>
        <w:t xml:space="preserve"> 1.7. «Депозиты до востребования»;</w:t>
      </w:r>
    </w:p>
    <w:p w:rsidR="00F34254" w:rsidRPr="00777040" w:rsidRDefault="00C21D7D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с</w:t>
      </w:r>
      <w:r w:rsidR="00F34254" w:rsidRPr="00777040">
        <w:rPr>
          <w:rFonts w:ascii="Times New Roman" w:hAnsi="Times New Roman"/>
          <w:bCs/>
          <w:sz w:val="24"/>
          <w:szCs w:val="24"/>
        </w:rPr>
        <w:t>трока 1.1. «Депозиты, не соответствующие условиям срочности,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</w:t>
      </w:r>
      <w:r w:rsidR="00174482" w:rsidRPr="00777040">
        <w:rPr>
          <w:rFonts w:ascii="Times New Roman" w:hAnsi="Times New Roman"/>
          <w:bCs/>
          <w:sz w:val="24"/>
          <w:szCs w:val="24"/>
        </w:rPr>
        <w:t>строк 1.1.1. «Условные депозиты</w:t>
      </w:r>
      <w:r w:rsidR="00F34254" w:rsidRPr="00777040">
        <w:rPr>
          <w:rFonts w:ascii="Times New Roman" w:hAnsi="Times New Roman"/>
          <w:bCs/>
          <w:sz w:val="24"/>
          <w:szCs w:val="24"/>
        </w:rPr>
        <w:t>» и 1.1.2. «Срочные депозиты,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>.</w:t>
      </w:r>
    </w:p>
    <w:p w:rsidR="00695F61" w:rsidRPr="00777040" w:rsidRDefault="00C21D7D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3) с</w:t>
      </w:r>
      <w:r w:rsidR="00F34254" w:rsidRPr="00777040">
        <w:rPr>
          <w:rFonts w:ascii="Times New Roman" w:hAnsi="Times New Roman"/>
          <w:bCs/>
          <w:sz w:val="24"/>
          <w:szCs w:val="24"/>
        </w:rPr>
        <w:t>трока 1.1.2. «Срочные депозиты,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1.1.2.1. «до 3 месяцев вк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лючительно», 1.1.2.2. «от 3 до </w:t>
      </w:r>
      <w:r w:rsidR="00F34254" w:rsidRPr="00777040">
        <w:rPr>
          <w:rFonts w:ascii="Times New Roman" w:hAnsi="Times New Roman"/>
          <w:bCs/>
          <w:sz w:val="24"/>
          <w:szCs w:val="24"/>
        </w:rPr>
        <w:t xml:space="preserve">6 месяцев включительно», 1.1.2.3. «от 6 до 12 </w:t>
      </w:r>
      <w:r w:rsidR="00174482" w:rsidRPr="00777040">
        <w:rPr>
          <w:rFonts w:ascii="Times New Roman" w:hAnsi="Times New Roman"/>
          <w:bCs/>
          <w:sz w:val="24"/>
          <w:szCs w:val="24"/>
        </w:rPr>
        <w:t xml:space="preserve">месяцев включительно» и 1.1.2.4. </w:t>
      </w:r>
      <w:r w:rsidR="00F34254" w:rsidRPr="00777040">
        <w:rPr>
          <w:rFonts w:ascii="Times New Roman" w:hAnsi="Times New Roman"/>
          <w:bCs/>
          <w:sz w:val="24"/>
          <w:szCs w:val="24"/>
        </w:rPr>
        <w:t>«свыше 12 месяцев».</w:t>
      </w:r>
    </w:p>
    <w:p w:rsidR="00F34254" w:rsidRPr="00777040" w:rsidRDefault="00174482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4) </w:t>
      </w:r>
      <w:r w:rsidR="00C21D7D">
        <w:rPr>
          <w:rFonts w:ascii="Times New Roman" w:hAnsi="Times New Roman"/>
          <w:bCs/>
          <w:sz w:val="24"/>
          <w:szCs w:val="24"/>
        </w:rPr>
        <w:t>с</w:t>
      </w:r>
      <w:r w:rsidRPr="00777040">
        <w:rPr>
          <w:rFonts w:ascii="Times New Roman" w:hAnsi="Times New Roman"/>
          <w:bCs/>
          <w:sz w:val="24"/>
          <w:szCs w:val="24"/>
        </w:rPr>
        <w:t xml:space="preserve">трока 1.2.  </w:t>
      </w:r>
      <w:r w:rsidR="00F34254" w:rsidRPr="00777040">
        <w:rPr>
          <w:rFonts w:ascii="Times New Roman" w:hAnsi="Times New Roman"/>
          <w:bCs/>
          <w:sz w:val="24"/>
          <w:szCs w:val="24"/>
        </w:rPr>
        <w:t>«Депозиты, соответствующие условиям срочности, с правом пополнения,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1.2.1. «до 3 месяцев 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включительно», 1.2.2. «от 3 до </w:t>
      </w:r>
      <w:r w:rsidR="00F34254" w:rsidRPr="00777040">
        <w:rPr>
          <w:rFonts w:ascii="Times New Roman" w:hAnsi="Times New Roman"/>
          <w:bCs/>
          <w:sz w:val="24"/>
          <w:szCs w:val="24"/>
        </w:rPr>
        <w:t>6 месяцев включительно», 1.2.3. «от 6 до</w:t>
      </w:r>
      <w:r w:rsidRPr="00777040">
        <w:rPr>
          <w:rFonts w:ascii="Times New Roman" w:hAnsi="Times New Roman"/>
          <w:bCs/>
          <w:sz w:val="24"/>
          <w:szCs w:val="24"/>
        </w:rPr>
        <w:t xml:space="preserve"> </w:t>
      </w:r>
      <w:r w:rsidR="00F34254" w:rsidRPr="00777040">
        <w:rPr>
          <w:rFonts w:ascii="Times New Roman" w:hAnsi="Times New Roman"/>
          <w:bCs/>
          <w:sz w:val="24"/>
          <w:szCs w:val="24"/>
        </w:rPr>
        <w:t>1</w:t>
      </w:r>
      <w:r w:rsidR="009C4762" w:rsidRPr="00777040">
        <w:rPr>
          <w:rFonts w:ascii="Times New Roman" w:hAnsi="Times New Roman"/>
          <w:bCs/>
          <w:sz w:val="24"/>
          <w:szCs w:val="24"/>
        </w:rPr>
        <w:t xml:space="preserve">2 месяцев включительно» и 1.2.4. </w:t>
      </w:r>
      <w:r w:rsidR="00F34254" w:rsidRPr="00777040">
        <w:rPr>
          <w:rFonts w:ascii="Times New Roman" w:hAnsi="Times New Roman"/>
          <w:bCs/>
          <w:sz w:val="24"/>
          <w:szCs w:val="24"/>
        </w:rPr>
        <w:t>«свыше 12 месяцев</w:t>
      </w:r>
      <w:r w:rsidR="009C4762" w:rsidRPr="00777040">
        <w:rPr>
          <w:rFonts w:ascii="Times New Roman" w:hAnsi="Times New Roman"/>
          <w:bCs/>
          <w:sz w:val="24"/>
          <w:szCs w:val="24"/>
        </w:rPr>
        <w:t>**</w:t>
      </w:r>
      <w:r w:rsidR="00F34254" w:rsidRPr="00777040">
        <w:rPr>
          <w:rFonts w:ascii="Times New Roman" w:hAnsi="Times New Roman"/>
          <w:bCs/>
          <w:sz w:val="24"/>
          <w:szCs w:val="24"/>
        </w:rPr>
        <w:t>».</w:t>
      </w:r>
    </w:p>
    <w:p w:rsidR="00F34254" w:rsidRPr="00777040" w:rsidRDefault="00C21D7D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с</w:t>
      </w:r>
      <w:r w:rsidR="00F34254" w:rsidRPr="00777040">
        <w:rPr>
          <w:rFonts w:ascii="Times New Roman" w:hAnsi="Times New Roman"/>
          <w:bCs/>
          <w:sz w:val="24"/>
          <w:szCs w:val="24"/>
        </w:rPr>
        <w:t>трока 1.3. «Депозиты, соответствующие условиям срочности, без права пополнения,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1.3.1. «до 3 месяцев 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включительно», 1.3.2. «от 3 до </w:t>
      </w:r>
      <w:r w:rsidR="00F34254" w:rsidRPr="00777040">
        <w:rPr>
          <w:rFonts w:ascii="Times New Roman" w:hAnsi="Times New Roman"/>
          <w:bCs/>
          <w:sz w:val="24"/>
          <w:szCs w:val="24"/>
        </w:rPr>
        <w:t>6 месяцев включительно», 1.3.3. «от 6 до1</w:t>
      </w:r>
      <w:r w:rsidR="009C4762" w:rsidRPr="00777040">
        <w:rPr>
          <w:rFonts w:ascii="Times New Roman" w:hAnsi="Times New Roman"/>
          <w:bCs/>
          <w:sz w:val="24"/>
          <w:szCs w:val="24"/>
        </w:rPr>
        <w:t xml:space="preserve">2 месяцев включительно» и 1.3.4. </w:t>
      </w:r>
      <w:r w:rsidR="00F34254" w:rsidRPr="00777040">
        <w:rPr>
          <w:rFonts w:ascii="Times New Roman" w:hAnsi="Times New Roman"/>
          <w:bCs/>
          <w:sz w:val="24"/>
          <w:szCs w:val="24"/>
        </w:rPr>
        <w:t>«свыше 12 месяцев</w:t>
      </w:r>
      <w:r w:rsidR="009C4762" w:rsidRPr="00777040">
        <w:rPr>
          <w:rFonts w:ascii="Times New Roman" w:hAnsi="Times New Roman"/>
          <w:bCs/>
          <w:sz w:val="24"/>
          <w:szCs w:val="24"/>
        </w:rPr>
        <w:t>**</w:t>
      </w:r>
      <w:r w:rsidR="00F34254" w:rsidRPr="00777040">
        <w:rPr>
          <w:rFonts w:ascii="Times New Roman" w:hAnsi="Times New Roman"/>
          <w:bCs/>
          <w:sz w:val="24"/>
          <w:szCs w:val="24"/>
        </w:rPr>
        <w:t>».</w:t>
      </w:r>
    </w:p>
    <w:p w:rsidR="00F34254" w:rsidRPr="00777040" w:rsidRDefault="00C21D7D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с</w:t>
      </w:r>
      <w:r w:rsidR="009C4762" w:rsidRPr="00777040">
        <w:rPr>
          <w:rFonts w:ascii="Times New Roman" w:hAnsi="Times New Roman"/>
          <w:bCs/>
          <w:sz w:val="24"/>
          <w:szCs w:val="24"/>
        </w:rPr>
        <w:t xml:space="preserve">трока 1.4. </w:t>
      </w:r>
      <w:r w:rsidR="00F34254" w:rsidRPr="00777040">
        <w:rPr>
          <w:rFonts w:ascii="Times New Roman" w:hAnsi="Times New Roman"/>
          <w:bCs/>
          <w:sz w:val="24"/>
          <w:szCs w:val="24"/>
        </w:rPr>
        <w:t>«Сберегательные депозиты с правом пополнения,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1.4.1. «до 3 месяцев 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включительно», 1.4.2. «от 3 до </w:t>
      </w:r>
      <w:r w:rsidR="00F34254" w:rsidRPr="00777040">
        <w:rPr>
          <w:rFonts w:ascii="Times New Roman" w:hAnsi="Times New Roman"/>
          <w:bCs/>
          <w:sz w:val="24"/>
          <w:szCs w:val="24"/>
        </w:rPr>
        <w:t>6 месяцев включительно», 1.4.3. «</w:t>
      </w:r>
      <w:r w:rsidR="009C4762" w:rsidRPr="00777040">
        <w:rPr>
          <w:rFonts w:ascii="Times New Roman" w:hAnsi="Times New Roman"/>
          <w:bCs/>
          <w:sz w:val="24"/>
          <w:szCs w:val="24"/>
        </w:rPr>
        <w:t>от 6 до12 месяцев включительно»</w:t>
      </w:r>
      <w:r w:rsidR="00F34254" w:rsidRPr="00777040">
        <w:rPr>
          <w:rFonts w:ascii="Times New Roman" w:hAnsi="Times New Roman"/>
          <w:bCs/>
          <w:sz w:val="24"/>
          <w:szCs w:val="24"/>
        </w:rPr>
        <w:t xml:space="preserve"> и 1.4.</w:t>
      </w:r>
      <w:r w:rsidR="009C4762" w:rsidRPr="00777040">
        <w:rPr>
          <w:rFonts w:ascii="Times New Roman" w:hAnsi="Times New Roman"/>
          <w:bCs/>
          <w:sz w:val="24"/>
          <w:szCs w:val="24"/>
        </w:rPr>
        <w:t>4</w:t>
      </w:r>
      <w:r w:rsidR="00F34254" w:rsidRPr="00777040">
        <w:rPr>
          <w:rFonts w:ascii="Times New Roman" w:hAnsi="Times New Roman"/>
          <w:bCs/>
          <w:sz w:val="24"/>
          <w:szCs w:val="24"/>
        </w:rPr>
        <w:t>. «свыше 12 месяцев».</w:t>
      </w:r>
    </w:p>
    <w:p w:rsidR="00F34254" w:rsidRPr="00777040" w:rsidRDefault="001D4D24" w:rsidP="001D4D2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7) </w:t>
      </w:r>
      <w:r w:rsidR="00C21D7D">
        <w:rPr>
          <w:rFonts w:ascii="Times New Roman" w:hAnsi="Times New Roman"/>
          <w:bCs/>
          <w:sz w:val="24"/>
          <w:szCs w:val="24"/>
        </w:rPr>
        <w:t>с</w:t>
      </w:r>
      <w:r w:rsidRPr="00777040">
        <w:rPr>
          <w:rFonts w:ascii="Times New Roman" w:hAnsi="Times New Roman"/>
          <w:bCs/>
          <w:sz w:val="24"/>
          <w:szCs w:val="24"/>
        </w:rPr>
        <w:t>трока 1.5.  «Сберегательные</w:t>
      </w:r>
      <w:r w:rsidR="00F03740" w:rsidRPr="00777040">
        <w:rPr>
          <w:rFonts w:ascii="Times New Roman" w:hAnsi="Times New Roman"/>
          <w:bCs/>
          <w:sz w:val="24"/>
          <w:szCs w:val="24"/>
        </w:rPr>
        <w:t xml:space="preserve"> депозиты без права пополнения, </w:t>
      </w:r>
      <w:r w:rsidRPr="00777040">
        <w:rPr>
          <w:rFonts w:ascii="Times New Roman" w:hAnsi="Times New Roman"/>
          <w:bCs/>
          <w:sz w:val="24"/>
          <w:szCs w:val="24"/>
        </w:rPr>
        <w:t>в том числе</w:t>
      </w:r>
      <w:proofErr w:type="gramStart"/>
      <w:r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Pr="00777040">
        <w:rPr>
          <w:rFonts w:ascii="Times New Roman" w:hAnsi="Times New Roman"/>
          <w:bCs/>
          <w:sz w:val="24"/>
          <w:szCs w:val="24"/>
        </w:rPr>
        <w:t xml:space="preserve"> должна бы</w:t>
      </w:r>
      <w:r w:rsidR="00F03740" w:rsidRPr="00777040">
        <w:rPr>
          <w:rFonts w:ascii="Times New Roman" w:hAnsi="Times New Roman"/>
          <w:bCs/>
          <w:sz w:val="24"/>
          <w:szCs w:val="24"/>
        </w:rPr>
        <w:t xml:space="preserve">ть равна сумме строк 1.5.1. «до </w:t>
      </w:r>
      <w:r w:rsidRPr="00777040">
        <w:rPr>
          <w:rFonts w:ascii="Times New Roman" w:hAnsi="Times New Roman"/>
          <w:bCs/>
          <w:sz w:val="24"/>
          <w:szCs w:val="24"/>
        </w:rPr>
        <w:t xml:space="preserve">3 месяцев включительно», 1.5.2. «от 3 до </w:t>
      </w:r>
      <w:r w:rsidR="002048E3" w:rsidRPr="00777040">
        <w:rPr>
          <w:rFonts w:ascii="Times New Roman" w:hAnsi="Times New Roman"/>
          <w:bCs/>
          <w:sz w:val="24"/>
          <w:szCs w:val="24"/>
        </w:rPr>
        <w:t xml:space="preserve">6 </w:t>
      </w:r>
      <w:r w:rsidRPr="00777040">
        <w:rPr>
          <w:rFonts w:ascii="Times New Roman" w:hAnsi="Times New Roman"/>
          <w:bCs/>
          <w:sz w:val="24"/>
          <w:szCs w:val="24"/>
        </w:rPr>
        <w:t>месяцев включительно», 1.5.3. «от 6 до</w:t>
      </w:r>
      <w:r w:rsidR="004A0799" w:rsidRPr="00777040">
        <w:rPr>
          <w:rFonts w:ascii="Times New Roman" w:hAnsi="Times New Roman"/>
          <w:bCs/>
          <w:sz w:val="24"/>
          <w:szCs w:val="24"/>
        </w:rPr>
        <w:t xml:space="preserve"> </w:t>
      </w:r>
      <w:r w:rsidR="009C4762" w:rsidRPr="00777040">
        <w:rPr>
          <w:rFonts w:ascii="Times New Roman" w:hAnsi="Times New Roman"/>
          <w:bCs/>
          <w:sz w:val="24"/>
          <w:szCs w:val="24"/>
        </w:rPr>
        <w:t xml:space="preserve">12 месяцев включительно» </w:t>
      </w:r>
      <w:r w:rsidRPr="00777040">
        <w:rPr>
          <w:rFonts w:ascii="Times New Roman" w:hAnsi="Times New Roman"/>
          <w:bCs/>
          <w:sz w:val="24"/>
          <w:szCs w:val="24"/>
        </w:rPr>
        <w:t>и 1.5.</w:t>
      </w:r>
      <w:r w:rsidR="009C4762" w:rsidRPr="00777040">
        <w:rPr>
          <w:rFonts w:ascii="Times New Roman" w:hAnsi="Times New Roman"/>
          <w:bCs/>
          <w:sz w:val="24"/>
          <w:szCs w:val="24"/>
        </w:rPr>
        <w:t>4</w:t>
      </w:r>
      <w:r w:rsidRPr="00777040">
        <w:rPr>
          <w:rFonts w:ascii="Times New Roman" w:hAnsi="Times New Roman"/>
          <w:bCs/>
          <w:sz w:val="24"/>
          <w:szCs w:val="24"/>
        </w:rPr>
        <w:t>. «свыше 12 месяцев».</w:t>
      </w:r>
    </w:p>
    <w:p w:rsidR="007B45E7" w:rsidRPr="00681ED0" w:rsidRDefault="001D4D24" w:rsidP="007B45E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681ED0">
        <w:rPr>
          <w:rFonts w:ascii="Times New Roman" w:hAnsi="Times New Roman"/>
          <w:bCs/>
          <w:sz w:val="24"/>
          <w:szCs w:val="24"/>
        </w:rPr>
        <w:t>8</w:t>
      </w:r>
      <w:r w:rsidR="00EA79FE" w:rsidRPr="00681ED0">
        <w:rPr>
          <w:rFonts w:ascii="Times New Roman" w:hAnsi="Times New Roman"/>
          <w:bCs/>
          <w:sz w:val="24"/>
          <w:szCs w:val="24"/>
        </w:rPr>
        <w:t xml:space="preserve">) </w:t>
      </w:r>
      <w:r w:rsidR="00C21D7D" w:rsidRPr="00681ED0">
        <w:rPr>
          <w:rFonts w:ascii="Times New Roman" w:hAnsi="Times New Roman"/>
          <w:bCs/>
          <w:sz w:val="24"/>
          <w:szCs w:val="24"/>
        </w:rPr>
        <w:t>с</w:t>
      </w:r>
      <w:r w:rsidR="00C3265D" w:rsidRPr="00681ED0">
        <w:rPr>
          <w:rFonts w:ascii="Times New Roman" w:hAnsi="Times New Roman"/>
          <w:bCs/>
          <w:sz w:val="24"/>
          <w:szCs w:val="24"/>
        </w:rPr>
        <w:t>трока 2.</w:t>
      </w:r>
      <w:r w:rsidR="00BB4693" w:rsidRPr="00681ED0">
        <w:rPr>
          <w:rFonts w:ascii="Times New Roman" w:hAnsi="Times New Roman"/>
          <w:bCs/>
          <w:sz w:val="24"/>
          <w:szCs w:val="24"/>
        </w:rPr>
        <w:t xml:space="preserve"> </w:t>
      </w:r>
      <w:r w:rsidR="00C3265D" w:rsidRPr="00681ED0">
        <w:rPr>
          <w:rFonts w:ascii="Times New Roman" w:hAnsi="Times New Roman"/>
          <w:bCs/>
          <w:sz w:val="24"/>
          <w:szCs w:val="24"/>
        </w:rPr>
        <w:t>«</w:t>
      </w:r>
      <w:r w:rsidR="00AA1059" w:rsidRPr="00681ED0">
        <w:rPr>
          <w:rFonts w:ascii="Times New Roman" w:hAnsi="Times New Roman"/>
          <w:bCs/>
          <w:sz w:val="24"/>
          <w:szCs w:val="24"/>
        </w:rPr>
        <w:t>Депозиты в иностранной валюте</w:t>
      </w:r>
      <w:r w:rsidR="00C3265D" w:rsidRPr="00681ED0">
        <w:rPr>
          <w:rFonts w:ascii="Times New Roman" w:hAnsi="Times New Roman"/>
          <w:bCs/>
          <w:sz w:val="24"/>
          <w:szCs w:val="24"/>
        </w:rPr>
        <w:t xml:space="preserve">» должна быть равна сумме строк </w:t>
      </w:r>
      <w:r w:rsidR="000434A3" w:rsidRPr="00681ED0">
        <w:rPr>
          <w:rFonts w:ascii="Times New Roman" w:hAnsi="Times New Roman"/>
          <w:bCs/>
          <w:sz w:val="24"/>
          <w:szCs w:val="24"/>
        </w:rPr>
        <w:t>2.1. «</w:t>
      </w:r>
      <w:r w:rsidR="007B45E7" w:rsidRPr="00681ED0">
        <w:rPr>
          <w:rFonts w:ascii="Times New Roman" w:hAnsi="Times New Roman"/>
          <w:bCs/>
          <w:sz w:val="24"/>
          <w:szCs w:val="24"/>
        </w:rPr>
        <w:t>Депозиты, не соответствующие условиям срочности, в том числе:</w:t>
      </w:r>
      <w:r w:rsidR="000434A3" w:rsidRPr="00681ED0">
        <w:rPr>
          <w:rFonts w:ascii="Times New Roman" w:hAnsi="Times New Roman"/>
          <w:bCs/>
          <w:sz w:val="24"/>
          <w:szCs w:val="24"/>
        </w:rPr>
        <w:t>»</w:t>
      </w:r>
      <w:r w:rsidR="00BB4693" w:rsidRPr="00681ED0">
        <w:rPr>
          <w:rFonts w:ascii="Times New Roman" w:hAnsi="Times New Roman"/>
          <w:bCs/>
          <w:sz w:val="24"/>
          <w:szCs w:val="24"/>
        </w:rPr>
        <w:t xml:space="preserve">, </w:t>
      </w:r>
      <w:r w:rsidR="000434A3" w:rsidRPr="00681ED0">
        <w:rPr>
          <w:rFonts w:ascii="Times New Roman" w:hAnsi="Times New Roman"/>
          <w:bCs/>
          <w:sz w:val="24"/>
          <w:szCs w:val="24"/>
        </w:rPr>
        <w:t xml:space="preserve">2.2. </w:t>
      </w:r>
      <w:r w:rsidR="007B45E7" w:rsidRPr="00681ED0">
        <w:rPr>
          <w:rFonts w:ascii="Times New Roman" w:hAnsi="Times New Roman"/>
          <w:bCs/>
          <w:sz w:val="24"/>
          <w:szCs w:val="24"/>
        </w:rPr>
        <w:t xml:space="preserve">«Депозиты, соответствующие условиям срочности, в том числе:», 2.3. «Сберегательные депозиты, в том числе:», 2.4. </w:t>
      </w:r>
      <w:r w:rsidR="000434A3" w:rsidRPr="00681ED0">
        <w:rPr>
          <w:rFonts w:ascii="Times New Roman" w:hAnsi="Times New Roman"/>
          <w:bCs/>
          <w:sz w:val="24"/>
          <w:szCs w:val="24"/>
        </w:rPr>
        <w:t>«</w:t>
      </w:r>
      <w:r w:rsidR="00C3265D" w:rsidRPr="00681ED0">
        <w:rPr>
          <w:rFonts w:ascii="Times New Roman" w:hAnsi="Times New Roman"/>
          <w:bCs/>
          <w:sz w:val="24"/>
          <w:szCs w:val="24"/>
        </w:rPr>
        <w:t>Текущие и карточные счета</w:t>
      </w:r>
      <w:r w:rsidR="000434A3" w:rsidRPr="00681ED0">
        <w:rPr>
          <w:rFonts w:ascii="Times New Roman" w:hAnsi="Times New Roman"/>
          <w:bCs/>
          <w:sz w:val="24"/>
          <w:szCs w:val="24"/>
        </w:rPr>
        <w:t>», 2.</w:t>
      </w:r>
      <w:r w:rsidR="007B45E7" w:rsidRPr="00681ED0">
        <w:rPr>
          <w:rFonts w:ascii="Times New Roman" w:hAnsi="Times New Roman"/>
          <w:bCs/>
          <w:sz w:val="24"/>
          <w:szCs w:val="24"/>
        </w:rPr>
        <w:t>5</w:t>
      </w:r>
      <w:r w:rsidR="000434A3" w:rsidRPr="00681ED0">
        <w:rPr>
          <w:rFonts w:ascii="Times New Roman" w:hAnsi="Times New Roman"/>
          <w:bCs/>
          <w:sz w:val="24"/>
          <w:szCs w:val="24"/>
        </w:rPr>
        <w:t>. «</w:t>
      </w:r>
      <w:r w:rsidR="00C3265D" w:rsidRPr="00681ED0">
        <w:rPr>
          <w:rFonts w:ascii="Times New Roman" w:hAnsi="Times New Roman"/>
          <w:bCs/>
          <w:sz w:val="24"/>
          <w:szCs w:val="24"/>
        </w:rPr>
        <w:t>Депозиты до востребования</w:t>
      </w:r>
      <w:r w:rsidR="000434A3" w:rsidRPr="00681ED0">
        <w:rPr>
          <w:rFonts w:ascii="Times New Roman" w:hAnsi="Times New Roman"/>
          <w:bCs/>
          <w:sz w:val="24"/>
          <w:szCs w:val="24"/>
        </w:rPr>
        <w:t>»</w:t>
      </w:r>
      <w:r w:rsidR="007B45E7" w:rsidRPr="00681ED0">
        <w:rPr>
          <w:rFonts w:ascii="Times New Roman" w:hAnsi="Times New Roman"/>
          <w:bCs/>
          <w:sz w:val="24"/>
          <w:szCs w:val="24"/>
        </w:rPr>
        <w:t>.</w:t>
      </w:r>
    </w:p>
    <w:p w:rsidR="006C657F" w:rsidRPr="00681ED0" w:rsidRDefault="007B45E7" w:rsidP="007B45E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681ED0">
        <w:rPr>
          <w:rFonts w:ascii="Times New Roman" w:hAnsi="Times New Roman"/>
          <w:bCs/>
          <w:sz w:val="24"/>
          <w:szCs w:val="24"/>
        </w:rPr>
        <w:t xml:space="preserve">9) </w:t>
      </w:r>
      <w:r w:rsidR="00C21D7D" w:rsidRPr="00681ED0">
        <w:rPr>
          <w:rFonts w:ascii="Times New Roman" w:hAnsi="Times New Roman"/>
          <w:bCs/>
          <w:sz w:val="24"/>
          <w:szCs w:val="24"/>
        </w:rPr>
        <w:t>с</w:t>
      </w:r>
      <w:r w:rsidR="003A794A" w:rsidRPr="00681ED0">
        <w:rPr>
          <w:rFonts w:ascii="Times New Roman" w:hAnsi="Times New Roman"/>
          <w:bCs/>
          <w:sz w:val="24"/>
          <w:szCs w:val="24"/>
        </w:rPr>
        <w:t>трока 2.1. «Депозиты, не соответствующие условиям срочности, в том числе</w:t>
      </w:r>
      <w:proofErr w:type="gramStart"/>
      <w:r w:rsidR="003A794A" w:rsidRPr="00681ED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3A794A" w:rsidRPr="00681ED0">
        <w:rPr>
          <w:rFonts w:ascii="Times New Roman" w:hAnsi="Times New Roman"/>
          <w:bCs/>
          <w:sz w:val="24"/>
          <w:szCs w:val="24"/>
        </w:rPr>
        <w:t xml:space="preserve"> должна быть равна сум</w:t>
      </w:r>
      <w:r w:rsidR="006C657F" w:rsidRPr="00681ED0">
        <w:rPr>
          <w:rFonts w:ascii="Times New Roman" w:hAnsi="Times New Roman"/>
          <w:bCs/>
          <w:sz w:val="24"/>
          <w:szCs w:val="24"/>
        </w:rPr>
        <w:t>ме строк</w:t>
      </w:r>
      <w:r w:rsidR="00791A40" w:rsidRPr="00681ED0">
        <w:rPr>
          <w:rFonts w:ascii="Times New Roman" w:hAnsi="Times New Roman"/>
          <w:bCs/>
          <w:sz w:val="24"/>
          <w:szCs w:val="24"/>
        </w:rPr>
        <w:t xml:space="preserve"> 2.1.1. «Условные депозиты», 2.1.2. «Срочные депозиты, в том числе</w:t>
      </w:r>
      <w:proofErr w:type="gramStart"/>
      <w:r w:rsidR="00791A40" w:rsidRPr="00681ED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791A40" w:rsidRPr="00681ED0">
        <w:rPr>
          <w:rFonts w:ascii="Times New Roman" w:hAnsi="Times New Roman"/>
          <w:bCs/>
          <w:sz w:val="24"/>
          <w:szCs w:val="24"/>
        </w:rPr>
        <w:t>.</w:t>
      </w:r>
    </w:p>
    <w:p w:rsidR="00037842" w:rsidRPr="00681ED0" w:rsidRDefault="00037842" w:rsidP="00037842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681ED0">
        <w:rPr>
          <w:rFonts w:ascii="Times New Roman" w:hAnsi="Times New Roman"/>
          <w:bCs/>
          <w:sz w:val="24"/>
          <w:szCs w:val="24"/>
        </w:rPr>
        <w:t xml:space="preserve">10) </w:t>
      </w:r>
      <w:r w:rsidR="00C21D7D" w:rsidRPr="00681ED0">
        <w:rPr>
          <w:rFonts w:ascii="Times New Roman" w:hAnsi="Times New Roman"/>
          <w:bCs/>
          <w:sz w:val="24"/>
          <w:szCs w:val="24"/>
        </w:rPr>
        <w:t>с</w:t>
      </w:r>
      <w:r w:rsidRPr="00681ED0">
        <w:rPr>
          <w:rFonts w:ascii="Times New Roman" w:hAnsi="Times New Roman"/>
          <w:bCs/>
          <w:sz w:val="24"/>
          <w:szCs w:val="24"/>
        </w:rPr>
        <w:t>трока 2.1.2. «Срочные депозиты, в том числе</w:t>
      </w:r>
      <w:proofErr w:type="gramStart"/>
      <w:r w:rsidRPr="00681ED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Pr="00681ED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</w:t>
      </w:r>
      <w:r w:rsidRPr="00681ED0">
        <w:rPr>
          <w:rFonts w:ascii="Times New Roman" w:hAnsi="Times New Roman"/>
          <w:bCs/>
          <w:sz w:val="24"/>
          <w:szCs w:val="24"/>
        </w:rPr>
        <w:t>2.1.2.</w:t>
      </w:r>
      <w:r w:rsidRPr="00681ED0">
        <w:rPr>
          <w:rFonts w:ascii="Times New Roman" w:hAnsi="Times New Roman"/>
          <w:bCs/>
          <w:sz w:val="24"/>
          <w:szCs w:val="24"/>
        </w:rPr>
        <w:t>1.</w:t>
      </w:r>
      <w:r w:rsidRPr="00681ED0">
        <w:rPr>
          <w:rFonts w:ascii="Times New Roman" w:hAnsi="Times New Roman"/>
          <w:bCs/>
          <w:sz w:val="24"/>
          <w:szCs w:val="24"/>
        </w:rPr>
        <w:t xml:space="preserve"> «</w:t>
      </w:r>
      <w:r w:rsidRPr="00681ED0">
        <w:rPr>
          <w:rFonts w:ascii="Times New Roman" w:hAnsi="Times New Roman"/>
          <w:bCs/>
          <w:sz w:val="24"/>
          <w:szCs w:val="24"/>
        </w:rPr>
        <w:t>до 12 месяцев</w:t>
      </w:r>
      <w:r w:rsidRPr="00681ED0">
        <w:rPr>
          <w:rFonts w:ascii="Times New Roman" w:hAnsi="Times New Roman"/>
          <w:bCs/>
          <w:sz w:val="24"/>
          <w:szCs w:val="24"/>
        </w:rPr>
        <w:t>»</w:t>
      </w:r>
      <w:r w:rsidR="00510F60" w:rsidRPr="00681ED0">
        <w:rPr>
          <w:rFonts w:ascii="Times New Roman" w:hAnsi="Times New Roman"/>
          <w:bCs/>
          <w:sz w:val="24"/>
          <w:szCs w:val="24"/>
        </w:rPr>
        <w:t xml:space="preserve"> и</w:t>
      </w:r>
      <w:r w:rsidRPr="00681ED0">
        <w:rPr>
          <w:rFonts w:ascii="Times New Roman" w:hAnsi="Times New Roman"/>
          <w:bCs/>
          <w:sz w:val="24"/>
          <w:szCs w:val="24"/>
        </w:rPr>
        <w:t xml:space="preserve"> 2.1.2.2. «12 месяцев и более».</w:t>
      </w:r>
    </w:p>
    <w:p w:rsidR="006C657F" w:rsidRPr="00681ED0" w:rsidRDefault="006C657F" w:rsidP="007B45E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681ED0">
        <w:rPr>
          <w:rFonts w:ascii="Times New Roman" w:hAnsi="Times New Roman"/>
          <w:bCs/>
          <w:sz w:val="24"/>
          <w:szCs w:val="24"/>
        </w:rPr>
        <w:t>1</w:t>
      </w:r>
      <w:r w:rsidR="00500C35" w:rsidRPr="00681ED0">
        <w:rPr>
          <w:rFonts w:ascii="Times New Roman" w:hAnsi="Times New Roman"/>
          <w:bCs/>
          <w:sz w:val="24"/>
          <w:szCs w:val="24"/>
        </w:rPr>
        <w:t>1</w:t>
      </w:r>
      <w:r w:rsidRPr="00681ED0">
        <w:rPr>
          <w:rFonts w:ascii="Times New Roman" w:hAnsi="Times New Roman"/>
          <w:bCs/>
          <w:sz w:val="24"/>
          <w:szCs w:val="24"/>
        </w:rPr>
        <w:t xml:space="preserve">) </w:t>
      </w:r>
      <w:r w:rsidR="00510F60" w:rsidRPr="00681ED0">
        <w:rPr>
          <w:rFonts w:ascii="Times New Roman" w:hAnsi="Times New Roman"/>
          <w:bCs/>
          <w:sz w:val="24"/>
          <w:szCs w:val="24"/>
        </w:rPr>
        <w:t>с</w:t>
      </w:r>
      <w:r w:rsidRPr="00681ED0">
        <w:rPr>
          <w:rFonts w:ascii="Times New Roman" w:hAnsi="Times New Roman"/>
          <w:bCs/>
          <w:sz w:val="24"/>
          <w:szCs w:val="24"/>
        </w:rPr>
        <w:t xml:space="preserve">трока </w:t>
      </w:r>
      <w:r w:rsidRPr="00681ED0">
        <w:rPr>
          <w:rFonts w:ascii="Times New Roman" w:hAnsi="Times New Roman"/>
          <w:bCs/>
          <w:sz w:val="24"/>
          <w:szCs w:val="24"/>
        </w:rPr>
        <w:t>2.2. «Депозиты, соответствующие условиям срочности, в том числе</w:t>
      </w:r>
      <w:proofErr w:type="gramStart"/>
      <w:r w:rsidRPr="00681ED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510F60" w:rsidRPr="00681ED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2.2.1. «до 12 месяцев» и 2.2.2. «12 месяцев и более**».</w:t>
      </w:r>
    </w:p>
    <w:p w:rsidR="007B45E7" w:rsidRPr="00681ED0" w:rsidRDefault="006C657F" w:rsidP="007B45E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681ED0">
        <w:rPr>
          <w:rFonts w:ascii="Times New Roman" w:hAnsi="Times New Roman"/>
          <w:bCs/>
          <w:sz w:val="24"/>
          <w:szCs w:val="24"/>
        </w:rPr>
        <w:t>1</w:t>
      </w:r>
      <w:r w:rsidR="00500C35" w:rsidRPr="00681ED0">
        <w:rPr>
          <w:rFonts w:ascii="Times New Roman" w:hAnsi="Times New Roman"/>
          <w:bCs/>
          <w:sz w:val="24"/>
          <w:szCs w:val="24"/>
        </w:rPr>
        <w:t>2</w:t>
      </w:r>
      <w:r w:rsidRPr="00681ED0">
        <w:rPr>
          <w:rFonts w:ascii="Times New Roman" w:hAnsi="Times New Roman"/>
          <w:bCs/>
          <w:sz w:val="24"/>
          <w:szCs w:val="24"/>
        </w:rPr>
        <w:t xml:space="preserve">)  </w:t>
      </w:r>
      <w:r w:rsidR="002A1D33">
        <w:rPr>
          <w:rFonts w:ascii="Times New Roman" w:hAnsi="Times New Roman"/>
          <w:bCs/>
          <w:sz w:val="24"/>
          <w:szCs w:val="24"/>
        </w:rPr>
        <w:t>с</w:t>
      </w:r>
      <w:r w:rsidRPr="00681ED0">
        <w:rPr>
          <w:rFonts w:ascii="Times New Roman" w:hAnsi="Times New Roman"/>
          <w:bCs/>
          <w:sz w:val="24"/>
          <w:szCs w:val="24"/>
        </w:rPr>
        <w:t xml:space="preserve">трока </w:t>
      </w:r>
      <w:r w:rsidR="00791A40" w:rsidRPr="00681ED0">
        <w:rPr>
          <w:rFonts w:ascii="Times New Roman" w:hAnsi="Times New Roman"/>
          <w:bCs/>
          <w:sz w:val="24"/>
          <w:szCs w:val="24"/>
        </w:rPr>
        <w:t>2</w:t>
      </w:r>
      <w:r w:rsidRPr="00681ED0">
        <w:rPr>
          <w:rFonts w:ascii="Times New Roman" w:hAnsi="Times New Roman"/>
          <w:bCs/>
          <w:sz w:val="24"/>
          <w:szCs w:val="24"/>
        </w:rPr>
        <w:t>.3. «Сберегательные депозиты, в том числе</w:t>
      </w:r>
      <w:proofErr w:type="gramStart"/>
      <w:r w:rsidRPr="00681ED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791A40" w:rsidRPr="00681ED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</w:t>
      </w:r>
      <w:r w:rsidR="00510F60" w:rsidRPr="00681ED0">
        <w:rPr>
          <w:rFonts w:ascii="Times New Roman" w:hAnsi="Times New Roman"/>
          <w:bCs/>
          <w:sz w:val="24"/>
          <w:szCs w:val="24"/>
        </w:rPr>
        <w:t>2.</w:t>
      </w:r>
      <w:bookmarkStart w:id="0" w:name="_GoBack"/>
      <w:bookmarkEnd w:id="0"/>
      <w:r w:rsidR="00510F60" w:rsidRPr="00681ED0">
        <w:rPr>
          <w:rFonts w:ascii="Times New Roman" w:hAnsi="Times New Roman"/>
          <w:bCs/>
          <w:sz w:val="24"/>
          <w:szCs w:val="24"/>
        </w:rPr>
        <w:t>3.1. «до 12 месяцев» и 2.3.2. «12 месяцев и более»</w:t>
      </w:r>
      <w:r w:rsidR="00791A40" w:rsidRPr="00681ED0">
        <w:rPr>
          <w:rFonts w:ascii="Times New Roman" w:hAnsi="Times New Roman"/>
          <w:bCs/>
          <w:sz w:val="24"/>
          <w:szCs w:val="24"/>
        </w:rPr>
        <w:t>.</w:t>
      </w:r>
    </w:p>
    <w:p w:rsidR="00126A47" w:rsidRPr="00777040" w:rsidRDefault="00126A47" w:rsidP="00126A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«Максимальная ставка*» – </w:t>
      </w:r>
      <w:r w:rsidRPr="00777040">
        <w:rPr>
          <w:rFonts w:ascii="Times New Roman" w:hAnsi="Times New Roman"/>
          <w:sz w:val="24"/>
          <w:szCs w:val="24"/>
        </w:rPr>
        <w:t>указывается максимальная годовая эффективная ставка вознаграждения внутри каждо</w:t>
      </w:r>
      <w:r w:rsidR="00DD48B8" w:rsidRPr="00777040">
        <w:rPr>
          <w:rFonts w:ascii="Times New Roman" w:hAnsi="Times New Roman"/>
          <w:sz w:val="24"/>
          <w:szCs w:val="24"/>
        </w:rPr>
        <w:t>й</w:t>
      </w:r>
      <w:r w:rsidRPr="00777040">
        <w:rPr>
          <w:rFonts w:ascii="Times New Roman" w:hAnsi="Times New Roman"/>
          <w:sz w:val="24"/>
          <w:szCs w:val="24"/>
        </w:rPr>
        <w:t xml:space="preserve"> </w:t>
      </w:r>
      <w:r w:rsidR="00DD48B8" w:rsidRPr="00777040">
        <w:rPr>
          <w:rFonts w:ascii="Times New Roman" w:hAnsi="Times New Roman"/>
          <w:sz w:val="24"/>
          <w:szCs w:val="24"/>
        </w:rPr>
        <w:t>категории</w:t>
      </w:r>
      <w:r w:rsidRPr="00777040">
        <w:rPr>
          <w:rFonts w:ascii="Times New Roman" w:hAnsi="Times New Roman"/>
          <w:sz w:val="24"/>
          <w:szCs w:val="24"/>
        </w:rPr>
        <w:t xml:space="preserve"> вклада, привлеченного в течение отчетного месяца, в том числе в зависимости от срока</w:t>
      </w:r>
      <w:r w:rsidR="00DD48B8" w:rsidRPr="00777040">
        <w:rPr>
          <w:rFonts w:ascii="Times New Roman" w:hAnsi="Times New Roman"/>
          <w:sz w:val="24"/>
          <w:szCs w:val="24"/>
        </w:rPr>
        <w:t xml:space="preserve"> вклада</w:t>
      </w:r>
      <w:r w:rsidRPr="00777040">
        <w:rPr>
          <w:rFonts w:ascii="Times New Roman" w:hAnsi="Times New Roman"/>
          <w:sz w:val="24"/>
          <w:szCs w:val="24"/>
        </w:rPr>
        <w:t xml:space="preserve"> (</w:t>
      </w:r>
      <w:r w:rsidR="00DD48B8" w:rsidRPr="00777040">
        <w:rPr>
          <w:rFonts w:ascii="Times New Roman" w:hAnsi="Times New Roman"/>
          <w:sz w:val="24"/>
          <w:szCs w:val="24"/>
        </w:rPr>
        <w:t>где это указано</w:t>
      </w:r>
      <w:r w:rsidRPr="00777040">
        <w:rPr>
          <w:rFonts w:ascii="Times New Roman" w:hAnsi="Times New Roman"/>
          <w:sz w:val="24"/>
          <w:szCs w:val="24"/>
        </w:rPr>
        <w:t>).</w:t>
      </w:r>
    </w:p>
    <w:p w:rsidR="00126A47" w:rsidRPr="00777040" w:rsidRDefault="00126A47" w:rsidP="00126A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«Средневзвешенная ставка*» – </w:t>
      </w:r>
      <w:r w:rsidRPr="00777040">
        <w:rPr>
          <w:rFonts w:ascii="Times New Roman" w:hAnsi="Times New Roman"/>
          <w:sz w:val="24"/>
          <w:szCs w:val="24"/>
        </w:rPr>
        <w:t xml:space="preserve">указывается </w:t>
      </w:r>
      <w:r w:rsidRPr="00777040">
        <w:rPr>
          <w:rFonts w:ascii="Times New Roman" w:hAnsi="Times New Roman"/>
          <w:bCs/>
          <w:sz w:val="24"/>
          <w:szCs w:val="24"/>
        </w:rPr>
        <w:t>с</w:t>
      </w:r>
      <w:r w:rsidRPr="00777040">
        <w:rPr>
          <w:rFonts w:ascii="Times New Roman" w:hAnsi="Times New Roman"/>
          <w:sz w:val="24"/>
          <w:szCs w:val="24"/>
        </w:rPr>
        <w:t xml:space="preserve">редневзвешенная годовая эффективная ставка вознаграждения, которая  рассчитывается отдельно по </w:t>
      </w:r>
      <w:r w:rsidR="00095DD8" w:rsidRPr="00777040">
        <w:rPr>
          <w:rFonts w:ascii="Times New Roman" w:hAnsi="Times New Roman"/>
          <w:sz w:val="24"/>
          <w:szCs w:val="24"/>
        </w:rPr>
        <w:t>каждой категории</w:t>
      </w:r>
      <w:r w:rsidRPr="00777040">
        <w:rPr>
          <w:rFonts w:ascii="Times New Roman" w:hAnsi="Times New Roman"/>
          <w:sz w:val="24"/>
          <w:szCs w:val="24"/>
        </w:rPr>
        <w:t xml:space="preserve"> вклада, привлеченного в течение отчетного месяца, в том числе в зависимости от срока</w:t>
      </w:r>
      <w:r w:rsidR="00095DD8" w:rsidRPr="00777040">
        <w:rPr>
          <w:rFonts w:ascii="Times New Roman" w:hAnsi="Times New Roman"/>
          <w:sz w:val="24"/>
          <w:szCs w:val="24"/>
        </w:rPr>
        <w:t xml:space="preserve"> вклада</w:t>
      </w:r>
      <w:r w:rsidRPr="00777040">
        <w:rPr>
          <w:rFonts w:ascii="Times New Roman" w:hAnsi="Times New Roman"/>
          <w:sz w:val="24"/>
          <w:szCs w:val="24"/>
        </w:rPr>
        <w:t xml:space="preserve"> (</w:t>
      </w:r>
      <w:r w:rsidR="00095DD8" w:rsidRPr="00777040">
        <w:rPr>
          <w:rFonts w:ascii="Times New Roman" w:hAnsi="Times New Roman"/>
          <w:sz w:val="24"/>
          <w:szCs w:val="24"/>
        </w:rPr>
        <w:t>где это указано</w:t>
      </w:r>
      <w:r w:rsidRPr="00777040">
        <w:rPr>
          <w:rFonts w:ascii="Times New Roman" w:hAnsi="Times New Roman"/>
          <w:sz w:val="24"/>
          <w:szCs w:val="24"/>
        </w:rPr>
        <w:t>) по следующей формуле:</w:t>
      </w:r>
    </w:p>
    <w:p w:rsidR="00126A47" w:rsidRPr="00777040" w:rsidRDefault="00126A47" w:rsidP="00126A47">
      <w:pPr>
        <w:ind w:firstLine="459"/>
        <w:jc w:val="both"/>
        <w:rPr>
          <w:rFonts w:ascii="Times New Roman" w:hAnsi="Times New Roman"/>
          <w:i/>
          <w:iCs/>
          <w:sz w:val="24"/>
          <w:szCs w:val="24"/>
        </w:rPr>
      </w:pPr>
      <w:r w:rsidRPr="00777040">
        <w:rPr>
          <w:rStyle w:val="s0"/>
          <w:i/>
          <w:iCs/>
          <w:sz w:val="24"/>
          <w:szCs w:val="24"/>
        </w:rPr>
        <w:t xml:space="preserve">                                       </w:t>
      </w:r>
      <w:proofErr w:type="gramStart"/>
      <w:r w:rsidRPr="00777040">
        <w:rPr>
          <w:rStyle w:val="s0"/>
          <w:i/>
          <w:iCs/>
          <w:sz w:val="24"/>
          <w:szCs w:val="24"/>
          <w:lang w:val="en-US"/>
        </w:rPr>
        <w:t>n</w:t>
      </w:r>
      <w:proofErr w:type="gramEnd"/>
      <w:r w:rsidRPr="00777040">
        <w:rPr>
          <w:rStyle w:val="s0"/>
          <w:i/>
          <w:iCs/>
          <w:sz w:val="24"/>
          <w:szCs w:val="24"/>
        </w:rPr>
        <w:t xml:space="preserve">             </w:t>
      </w:r>
    </w:p>
    <w:p w:rsidR="00126A47" w:rsidRPr="00777040" w:rsidRDefault="00126A47" w:rsidP="00126A47">
      <w:pPr>
        <w:ind w:firstLine="459"/>
        <w:rPr>
          <w:rStyle w:val="s0"/>
          <w:sz w:val="24"/>
          <w:szCs w:val="24"/>
          <w:vertAlign w:val="subscript"/>
        </w:rPr>
      </w:pPr>
      <w:r w:rsidRPr="00777040">
        <w:rPr>
          <w:rStyle w:val="s0"/>
          <w:i/>
          <w:iCs/>
          <w:sz w:val="24"/>
          <w:szCs w:val="24"/>
        </w:rPr>
        <w:t>                                      ∑ ГЭСВ</w:t>
      </w:r>
      <w:proofErr w:type="spellStart"/>
      <w:proofErr w:type="gramStart"/>
      <w:r w:rsidRPr="00777040">
        <w:rPr>
          <w:rStyle w:val="s0"/>
          <w:i/>
          <w:i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77040">
        <w:rPr>
          <w:rStyle w:val="s0"/>
          <w:i/>
          <w:iCs/>
          <w:sz w:val="24"/>
          <w:szCs w:val="24"/>
        </w:rPr>
        <w:t xml:space="preserve"> * </w:t>
      </w:r>
      <w:r w:rsidRPr="00777040">
        <w:rPr>
          <w:rStyle w:val="s0"/>
          <w:i/>
          <w:iCs/>
          <w:sz w:val="24"/>
          <w:szCs w:val="24"/>
          <w:lang w:val="en-US"/>
        </w:rPr>
        <w:t>V</w:t>
      </w:r>
      <w:r w:rsidRPr="00777040">
        <w:rPr>
          <w:rStyle w:val="s0"/>
          <w:i/>
          <w:iCs/>
          <w:sz w:val="24"/>
          <w:szCs w:val="24"/>
          <w:vertAlign w:val="subscript"/>
          <w:lang w:val="en-US"/>
        </w:rPr>
        <w:t>i</w:t>
      </w:r>
      <w:r w:rsidRPr="00777040">
        <w:rPr>
          <w:rStyle w:val="s0"/>
          <w:i/>
          <w:iCs/>
          <w:sz w:val="24"/>
          <w:szCs w:val="24"/>
          <w:vertAlign w:val="subscript"/>
        </w:rPr>
        <w:t xml:space="preserve"> </w:t>
      </w:r>
    </w:p>
    <w:p w:rsidR="00126A47" w:rsidRPr="00777040" w:rsidRDefault="00126A47" w:rsidP="00126A47">
      <w:pPr>
        <w:ind w:firstLine="459"/>
        <w:rPr>
          <w:rStyle w:val="s0"/>
          <w:i/>
          <w:iCs/>
          <w:sz w:val="24"/>
          <w:szCs w:val="24"/>
        </w:rPr>
      </w:pPr>
      <w:r w:rsidRPr="00777040">
        <w:rPr>
          <w:rStyle w:val="s0"/>
          <w:i/>
          <w:iCs/>
          <w:sz w:val="24"/>
          <w:szCs w:val="24"/>
        </w:rPr>
        <w:t>                                      </w:t>
      </w:r>
      <w:proofErr w:type="spellStart"/>
      <w:r w:rsidRPr="00777040">
        <w:rPr>
          <w:rStyle w:val="s0"/>
          <w:i/>
          <w:iCs/>
          <w:sz w:val="24"/>
          <w:szCs w:val="24"/>
          <w:lang w:val="en-US"/>
        </w:rPr>
        <w:t>i</w:t>
      </w:r>
      <w:proofErr w:type="spellEnd"/>
      <w:r w:rsidRPr="00777040">
        <w:rPr>
          <w:rStyle w:val="s0"/>
          <w:i/>
          <w:iCs/>
          <w:sz w:val="24"/>
          <w:szCs w:val="24"/>
        </w:rPr>
        <w:t xml:space="preserve">=1  </w:t>
      </w:r>
    </w:p>
    <w:p w:rsidR="00126A47" w:rsidRPr="00777040" w:rsidRDefault="00126A47" w:rsidP="00126A47">
      <w:pPr>
        <w:ind w:firstLine="459"/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6458F3" wp14:editId="5EB501D2">
            <wp:simplePos x="0" y="0"/>
            <wp:positionH relativeFrom="column">
              <wp:posOffset>1558290</wp:posOffset>
            </wp:positionH>
            <wp:positionV relativeFrom="paragraph">
              <wp:posOffset>74295</wp:posOffset>
            </wp:positionV>
            <wp:extent cx="1390650" cy="9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ая соединительная линия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040">
        <w:rPr>
          <w:rFonts w:ascii="Times New Roman" w:hAnsi="Times New Roman"/>
          <w:i/>
          <w:iCs/>
          <w:sz w:val="24"/>
          <w:szCs w:val="24"/>
        </w:rPr>
        <w:t xml:space="preserve">    ГЭСВ</w:t>
      </w:r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ср. </w:t>
      </w:r>
      <w:proofErr w:type="spellStart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>вз</w:t>
      </w:r>
      <w:proofErr w:type="spellEnd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.       </w:t>
      </w:r>
      <w:r w:rsidRPr="00777040">
        <w:rPr>
          <w:rFonts w:ascii="Times New Roman" w:hAnsi="Times New Roman"/>
          <w:i/>
          <w:iCs/>
          <w:sz w:val="24"/>
          <w:szCs w:val="24"/>
        </w:rPr>
        <w:t xml:space="preserve">=    </w:t>
      </w:r>
    </w:p>
    <w:p w:rsidR="00126A47" w:rsidRPr="00777040" w:rsidRDefault="00126A47" w:rsidP="00126A47">
      <w:pPr>
        <w:ind w:firstLine="459"/>
        <w:jc w:val="both"/>
        <w:rPr>
          <w:rFonts w:ascii="Times New Roman" w:hAnsi="Times New Roman"/>
          <w:i/>
          <w:iCs/>
          <w:sz w:val="24"/>
          <w:szCs w:val="24"/>
        </w:rPr>
      </w:pPr>
      <w:r w:rsidRPr="00777040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 </w:t>
      </w:r>
      <w:proofErr w:type="gramStart"/>
      <w:r w:rsidRPr="00777040">
        <w:rPr>
          <w:rStyle w:val="s0"/>
          <w:i/>
          <w:iCs/>
          <w:sz w:val="24"/>
          <w:szCs w:val="24"/>
          <w:lang w:val="en-US"/>
        </w:rPr>
        <w:t>n</w:t>
      </w:r>
      <w:proofErr w:type="gramEnd"/>
      <w:r w:rsidRPr="00777040">
        <w:rPr>
          <w:rStyle w:val="s0"/>
          <w:i/>
          <w:iCs/>
          <w:sz w:val="24"/>
          <w:szCs w:val="24"/>
        </w:rPr>
        <w:t>             </w:t>
      </w:r>
    </w:p>
    <w:p w:rsidR="00126A47" w:rsidRPr="00777040" w:rsidRDefault="00126A47" w:rsidP="00126A47">
      <w:pPr>
        <w:ind w:firstLine="459"/>
        <w:rPr>
          <w:rStyle w:val="s0"/>
          <w:sz w:val="24"/>
          <w:szCs w:val="24"/>
          <w:vertAlign w:val="subscript"/>
        </w:rPr>
      </w:pPr>
      <w:r w:rsidRPr="00777040">
        <w:rPr>
          <w:rStyle w:val="s0"/>
          <w:i/>
          <w:iCs/>
          <w:sz w:val="24"/>
          <w:szCs w:val="24"/>
        </w:rPr>
        <w:t xml:space="preserve">                                        ∑ </w:t>
      </w:r>
      <w:r w:rsidRPr="00777040">
        <w:rPr>
          <w:rStyle w:val="s0"/>
          <w:i/>
          <w:iCs/>
          <w:sz w:val="24"/>
          <w:szCs w:val="24"/>
          <w:lang w:val="en-US"/>
        </w:rPr>
        <w:t>V</w:t>
      </w:r>
      <w:r w:rsidRPr="00777040">
        <w:rPr>
          <w:rStyle w:val="s0"/>
          <w:i/>
          <w:iCs/>
          <w:sz w:val="24"/>
          <w:szCs w:val="24"/>
          <w:vertAlign w:val="subscript"/>
          <w:lang w:val="en-US"/>
        </w:rPr>
        <w:t>i</w:t>
      </w:r>
    </w:p>
    <w:p w:rsidR="00126A47" w:rsidRPr="00777040" w:rsidRDefault="00126A47" w:rsidP="007B38CC">
      <w:pPr>
        <w:ind w:firstLine="45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77040">
        <w:rPr>
          <w:rStyle w:val="s0"/>
          <w:i/>
          <w:iCs/>
          <w:sz w:val="24"/>
          <w:szCs w:val="24"/>
        </w:rPr>
        <w:t xml:space="preserve">                                       </w:t>
      </w:r>
      <w:proofErr w:type="spellStart"/>
      <w:r w:rsidRPr="00777040">
        <w:rPr>
          <w:rStyle w:val="s0"/>
          <w:i/>
          <w:iCs/>
          <w:sz w:val="24"/>
          <w:szCs w:val="24"/>
          <w:lang w:val="en-US"/>
        </w:rPr>
        <w:t>i</w:t>
      </w:r>
      <w:proofErr w:type="spellEnd"/>
      <w:r w:rsidRPr="00777040">
        <w:rPr>
          <w:rStyle w:val="s0"/>
          <w:i/>
          <w:iCs/>
          <w:sz w:val="24"/>
          <w:szCs w:val="24"/>
        </w:rPr>
        <w:t xml:space="preserve">=1  </w:t>
      </w:r>
    </w:p>
    <w:p w:rsidR="00126A47" w:rsidRPr="00777040" w:rsidRDefault="00126A47" w:rsidP="00126A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sz w:val="24"/>
          <w:szCs w:val="24"/>
        </w:rPr>
        <w:t>где:</w:t>
      </w:r>
    </w:p>
    <w:p w:rsidR="00126A47" w:rsidRPr="00777040" w:rsidRDefault="00126A47" w:rsidP="00126A47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i/>
          <w:iCs/>
          <w:sz w:val="24"/>
          <w:szCs w:val="24"/>
        </w:rPr>
        <w:t>ГЭСВ</w:t>
      </w:r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ср. </w:t>
      </w:r>
      <w:proofErr w:type="spellStart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>вз</w:t>
      </w:r>
      <w:proofErr w:type="spellEnd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>.</w:t>
      </w:r>
      <w:r w:rsidRPr="00777040">
        <w:rPr>
          <w:rFonts w:ascii="Times New Roman" w:hAnsi="Times New Roman"/>
          <w:sz w:val="24"/>
          <w:szCs w:val="24"/>
        </w:rPr>
        <w:t xml:space="preserve"> – средневзвешенная годовая эффективная ставка вознаграждения по определенно</w:t>
      </w:r>
      <w:r w:rsidR="00095DD8" w:rsidRPr="00777040">
        <w:rPr>
          <w:rFonts w:ascii="Times New Roman" w:hAnsi="Times New Roman"/>
          <w:sz w:val="24"/>
          <w:szCs w:val="24"/>
        </w:rPr>
        <w:t>й</w:t>
      </w:r>
      <w:r w:rsidRPr="00777040">
        <w:rPr>
          <w:rFonts w:ascii="Times New Roman" w:hAnsi="Times New Roman"/>
          <w:sz w:val="24"/>
          <w:szCs w:val="24"/>
        </w:rPr>
        <w:t xml:space="preserve"> </w:t>
      </w:r>
      <w:r w:rsidR="00095DD8" w:rsidRPr="00777040">
        <w:rPr>
          <w:rFonts w:ascii="Times New Roman" w:hAnsi="Times New Roman"/>
          <w:sz w:val="24"/>
          <w:szCs w:val="24"/>
        </w:rPr>
        <w:t>категории</w:t>
      </w:r>
      <w:r w:rsidRPr="00777040">
        <w:rPr>
          <w:rFonts w:ascii="Times New Roman" w:hAnsi="Times New Roman"/>
          <w:sz w:val="24"/>
          <w:szCs w:val="24"/>
        </w:rPr>
        <w:t xml:space="preserve"> вклада;</w:t>
      </w:r>
    </w:p>
    <w:p w:rsidR="00126A47" w:rsidRPr="00777040" w:rsidRDefault="00126A47" w:rsidP="00126A47">
      <w:pPr>
        <w:spacing w:before="120"/>
        <w:ind w:firstLine="708"/>
        <w:jc w:val="both"/>
        <w:rPr>
          <w:rStyle w:val="s0"/>
          <w:sz w:val="24"/>
          <w:szCs w:val="24"/>
        </w:rPr>
      </w:pPr>
      <w:r w:rsidRPr="00777040">
        <w:rPr>
          <w:rStyle w:val="s0"/>
          <w:i/>
          <w:sz w:val="24"/>
          <w:szCs w:val="24"/>
        </w:rPr>
        <w:t>ГЭСВ</w:t>
      </w:r>
      <w:proofErr w:type="spellStart"/>
      <w:proofErr w:type="gramStart"/>
      <w:r w:rsidRPr="00777040">
        <w:rPr>
          <w:rStyle w:val="s0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77040">
        <w:rPr>
          <w:rStyle w:val="s0"/>
          <w:i/>
          <w:sz w:val="24"/>
          <w:szCs w:val="24"/>
        </w:rPr>
        <w:t xml:space="preserve"> </w:t>
      </w:r>
      <w:r w:rsidRPr="00777040">
        <w:rPr>
          <w:rStyle w:val="s0"/>
          <w:sz w:val="24"/>
          <w:szCs w:val="24"/>
        </w:rPr>
        <w:t>– годовая эффективная ставка вознаграждения по отдельным вкладам определенно</w:t>
      </w:r>
      <w:r w:rsidR="00095DD8" w:rsidRPr="00777040">
        <w:rPr>
          <w:rStyle w:val="s0"/>
          <w:sz w:val="24"/>
          <w:szCs w:val="24"/>
        </w:rPr>
        <w:t>й</w:t>
      </w:r>
      <w:r w:rsidRPr="00777040">
        <w:rPr>
          <w:rStyle w:val="s0"/>
          <w:sz w:val="24"/>
          <w:szCs w:val="24"/>
        </w:rPr>
        <w:t xml:space="preserve"> </w:t>
      </w:r>
      <w:r w:rsidR="00095DD8" w:rsidRPr="00777040">
        <w:rPr>
          <w:rStyle w:val="s0"/>
          <w:sz w:val="24"/>
          <w:szCs w:val="24"/>
        </w:rPr>
        <w:t>категории</w:t>
      </w:r>
      <w:r w:rsidRPr="00777040">
        <w:rPr>
          <w:rStyle w:val="s0"/>
          <w:sz w:val="24"/>
          <w:szCs w:val="24"/>
        </w:rPr>
        <w:t xml:space="preserve"> вклада;</w:t>
      </w:r>
    </w:p>
    <w:p w:rsidR="00C51332" w:rsidRPr="00777040" w:rsidRDefault="00C51332" w:rsidP="00C51332">
      <w:pPr>
        <w:spacing w:before="120"/>
        <w:ind w:firstLine="708"/>
        <w:jc w:val="both"/>
        <w:rPr>
          <w:rStyle w:val="s0"/>
          <w:sz w:val="24"/>
          <w:szCs w:val="24"/>
        </w:rPr>
      </w:pPr>
      <w:r w:rsidRPr="00777040">
        <w:rPr>
          <w:rStyle w:val="s0"/>
          <w:i/>
          <w:sz w:val="24"/>
          <w:szCs w:val="24"/>
          <w:lang w:val="en-US"/>
        </w:rPr>
        <w:lastRenderedPageBreak/>
        <w:t>V</w:t>
      </w:r>
      <w:r w:rsidRPr="00777040">
        <w:rPr>
          <w:rStyle w:val="s0"/>
          <w:i/>
          <w:sz w:val="24"/>
          <w:szCs w:val="24"/>
          <w:vertAlign w:val="subscript"/>
          <w:lang w:val="en-US"/>
        </w:rPr>
        <w:t>i</w:t>
      </w:r>
      <w:proofErr w:type="gramStart"/>
      <w:r w:rsidRPr="00777040">
        <w:rPr>
          <w:rStyle w:val="s0"/>
          <w:i/>
          <w:sz w:val="24"/>
          <w:szCs w:val="24"/>
          <w:vertAlign w:val="subscript"/>
        </w:rPr>
        <w:t> </w:t>
      </w:r>
      <w:r w:rsidRPr="00777040">
        <w:rPr>
          <w:rStyle w:val="s0"/>
          <w:i/>
          <w:sz w:val="24"/>
          <w:szCs w:val="24"/>
        </w:rPr>
        <w:t xml:space="preserve"> –</w:t>
      </w:r>
      <w:proofErr w:type="gramEnd"/>
      <w:r w:rsidRPr="00777040">
        <w:rPr>
          <w:rStyle w:val="s0"/>
          <w:i/>
          <w:sz w:val="24"/>
          <w:szCs w:val="24"/>
        </w:rPr>
        <w:t xml:space="preserve"> </w:t>
      </w:r>
      <w:r w:rsidRPr="00777040">
        <w:rPr>
          <w:rStyle w:val="s0"/>
          <w:sz w:val="24"/>
          <w:szCs w:val="24"/>
        </w:rPr>
        <w:t xml:space="preserve">сумма </w:t>
      </w:r>
      <w:r w:rsidR="00B13D7A" w:rsidRPr="00B13D7A">
        <w:rPr>
          <w:rStyle w:val="s0"/>
          <w:color w:val="FF0000"/>
          <w:sz w:val="24"/>
          <w:szCs w:val="24"/>
        </w:rPr>
        <w:t>вновь привлеченных</w:t>
      </w:r>
      <w:r w:rsidR="00B13D7A" w:rsidRPr="00B13D7A">
        <w:rPr>
          <w:rStyle w:val="s0"/>
          <w:sz w:val="24"/>
          <w:szCs w:val="24"/>
        </w:rPr>
        <w:t xml:space="preserve"> </w:t>
      </w:r>
      <w:r w:rsidRPr="00777040">
        <w:rPr>
          <w:rStyle w:val="s0"/>
          <w:sz w:val="24"/>
          <w:szCs w:val="24"/>
        </w:rPr>
        <w:t>депозитов</w:t>
      </w:r>
      <w:r w:rsidR="00AA4F64">
        <w:rPr>
          <w:rStyle w:val="s0"/>
          <w:sz w:val="24"/>
          <w:szCs w:val="24"/>
        </w:rPr>
        <w:t xml:space="preserve"> </w:t>
      </w:r>
      <w:r w:rsidR="00AA4F64" w:rsidRPr="00AA4F64">
        <w:rPr>
          <w:rStyle w:val="s0"/>
          <w:b/>
          <w:color w:val="FF0000"/>
          <w:sz w:val="24"/>
          <w:szCs w:val="24"/>
        </w:rPr>
        <w:t>(все притоки)</w:t>
      </w:r>
      <w:r w:rsidRPr="00777040">
        <w:rPr>
          <w:rStyle w:val="s0"/>
          <w:sz w:val="24"/>
          <w:szCs w:val="24"/>
        </w:rPr>
        <w:t xml:space="preserve"> за отчетный месяц по каждой категории вклада с фиксированной процентной ставкой, привлеченных по одинаковой </w:t>
      </w:r>
      <w:r w:rsidRPr="00777040">
        <w:rPr>
          <w:rStyle w:val="s0"/>
          <w:i/>
          <w:sz w:val="24"/>
          <w:szCs w:val="24"/>
        </w:rPr>
        <w:t>ГЭСВ</w:t>
      </w:r>
      <w:proofErr w:type="spellStart"/>
      <w:r w:rsidRPr="00777040">
        <w:rPr>
          <w:rStyle w:val="s0"/>
          <w:i/>
          <w:sz w:val="24"/>
          <w:szCs w:val="24"/>
          <w:vertAlign w:val="subscript"/>
          <w:lang w:val="en-US"/>
        </w:rPr>
        <w:t>i</w:t>
      </w:r>
      <w:proofErr w:type="spellEnd"/>
      <w:r w:rsidRPr="00777040">
        <w:rPr>
          <w:rStyle w:val="s0"/>
          <w:sz w:val="24"/>
          <w:szCs w:val="24"/>
        </w:rPr>
        <w:t>, без учета вознаграждения (за исключением капитализированной суммы вознаграждения).</w:t>
      </w:r>
    </w:p>
    <w:p w:rsidR="00CD1E64" w:rsidRPr="00777040" w:rsidRDefault="00C51332" w:rsidP="007B38CC">
      <w:pPr>
        <w:spacing w:before="120"/>
        <w:ind w:firstLine="708"/>
        <w:jc w:val="both"/>
        <w:rPr>
          <w:rStyle w:val="s0"/>
          <w:sz w:val="24"/>
          <w:szCs w:val="24"/>
        </w:rPr>
      </w:pPr>
      <w:r w:rsidRPr="00777040">
        <w:rPr>
          <w:rStyle w:val="s0"/>
          <w:sz w:val="24"/>
          <w:szCs w:val="24"/>
        </w:rPr>
        <w:t xml:space="preserve">Вновь привлеченные депозиты в иностранной валюте с фиксированной процентной ставкой должны быть пересчитаны по курсу НБ РК, действовавшего </w:t>
      </w:r>
      <w:r w:rsidR="003574DF" w:rsidRPr="003574DF">
        <w:rPr>
          <w:rStyle w:val="s0"/>
          <w:b/>
          <w:sz w:val="24"/>
          <w:szCs w:val="24"/>
        </w:rPr>
        <w:t>на дату привлечения депозита в иностранной валюте</w:t>
      </w:r>
      <w:r w:rsidR="003574DF" w:rsidRPr="003574DF">
        <w:rPr>
          <w:rStyle w:val="s0"/>
          <w:sz w:val="24"/>
          <w:szCs w:val="24"/>
        </w:rPr>
        <w:t>.</w:t>
      </w:r>
    </w:p>
    <w:p w:rsidR="007B38CC" w:rsidRDefault="007B38CC" w:rsidP="007B38CC">
      <w:pPr>
        <w:spacing w:before="12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1F4" w:rsidRPr="00777040" w:rsidRDefault="00A761F4" w:rsidP="007B38CC">
      <w:pPr>
        <w:spacing w:before="12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367F" w:rsidRDefault="00A8367F" w:rsidP="005D638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77040">
        <w:rPr>
          <w:rFonts w:ascii="Times New Roman" w:hAnsi="Times New Roman"/>
          <w:b/>
          <w:bCs/>
          <w:sz w:val="24"/>
          <w:szCs w:val="24"/>
        </w:rPr>
        <w:t xml:space="preserve">Заполнение </w:t>
      </w:r>
      <w:r w:rsidR="005361AE" w:rsidRPr="00777040">
        <w:rPr>
          <w:rFonts w:ascii="Times New Roman" w:hAnsi="Times New Roman"/>
          <w:b/>
          <w:bCs/>
          <w:sz w:val="24"/>
          <w:szCs w:val="24"/>
        </w:rPr>
        <w:t>данных по Форме 2 отчета</w:t>
      </w:r>
      <w:r w:rsidR="005D6381" w:rsidRPr="007770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61F4" w:rsidRPr="00777040" w:rsidRDefault="00A761F4" w:rsidP="005D638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15A2" w:rsidRPr="00777040" w:rsidRDefault="00AF15A2" w:rsidP="00AF15A2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Форма 2 отчета заполняется по привлечённым (вкладам) депозитам физических лиц</w:t>
      </w:r>
      <w:r w:rsidR="007C2866" w:rsidRPr="00777040">
        <w:rPr>
          <w:rFonts w:ascii="Times New Roman" w:hAnsi="Times New Roman"/>
          <w:bCs/>
          <w:sz w:val="24"/>
          <w:szCs w:val="24"/>
        </w:rPr>
        <w:t xml:space="preserve"> в национальной валюте</w:t>
      </w:r>
      <w:r w:rsidRPr="00777040">
        <w:rPr>
          <w:rFonts w:ascii="Times New Roman" w:hAnsi="Times New Roman"/>
          <w:bCs/>
          <w:sz w:val="24"/>
          <w:szCs w:val="24"/>
        </w:rPr>
        <w:t xml:space="preserve"> с плавающей процентной ставкой банков-участников.</w:t>
      </w:r>
    </w:p>
    <w:p w:rsidR="00DB1A93" w:rsidRPr="00777040" w:rsidRDefault="00DB1A93" w:rsidP="00E607BF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«Значение </w:t>
      </w:r>
      <w:proofErr w:type="spellStart"/>
      <w:r w:rsidRPr="00777040">
        <w:rPr>
          <w:rFonts w:ascii="Times New Roman" w:hAnsi="Times New Roman"/>
          <w:bCs/>
          <w:sz w:val="24"/>
          <w:szCs w:val="24"/>
        </w:rPr>
        <w:t>бенчмарка</w:t>
      </w:r>
      <w:proofErr w:type="spellEnd"/>
      <w:r w:rsidRPr="00777040">
        <w:rPr>
          <w:rFonts w:ascii="Times New Roman" w:hAnsi="Times New Roman"/>
          <w:bCs/>
          <w:sz w:val="24"/>
          <w:szCs w:val="24"/>
        </w:rPr>
        <w:t xml:space="preserve">» – </w:t>
      </w:r>
      <w:r w:rsidRPr="00777040">
        <w:rPr>
          <w:rFonts w:ascii="Times New Roman" w:hAnsi="Times New Roman"/>
          <w:sz w:val="24"/>
          <w:szCs w:val="24"/>
        </w:rPr>
        <w:t xml:space="preserve">указывается значение </w:t>
      </w:r>
      <w:proofErr w:type="spellStart"/>
      <w:r w:rsidRPr="00777040">
        <w:rPr>
          <w:rFonts w:ascii="Times New Roman" w:hAnsi="Times New Roman"/>
          <w:sz w:val="24"/>
          <w:szCs w:val="24"/>
        </w:rPr>
        <w:t>бенчмарка</w:t>
      </w:r>
      <w:proofErr w:type="spellEnd"/>
      <w:r w:rsidRPr="00777040">
        <w:rPr>
          <w:rFonts w:ascii="Times New Roman" w:hAnsi="Times New Roman"/>
          <w:sz w:val="24"/>
          <w:szCs w:val="24"/>
        </w:rPr>
        <w:t xml:space="preserve"> </w:t>
      </w:r>
      <w:r w:rsidR="00E607BF" w:rsidRPr="00777040">
        <w:rPr>
          <w:rFonts w:ascii="Times New Roman" w:hAnsi="Times New Roman"/>
          <w:sz w:val="24"/>
          <w:szCs w:val="24"/>
        </w:rPr>
        <w:t>внутри каждой категории вклада</w:t>
      </w:r>
      <w:r w:rsidR="00E607BF" w:rsidRPr="00777040">
        <w:t xml:space="preserve"> </w:t>
      </w:r>
      <w:r w:rsidR="00E607BF" w:rsidRPr="00777040">
        <w:rPr>
          <w:rFonts w:ascii="Times New Roman" w:hAnsi="Times New Roman"/>
          <w:sz w:val="24"/>
          <w:szCs w:val="24"/>
        </w:rPr>
        <w:t>с плавающей процентной ставкой, привлечен</w:t>
      </w:r>
      <w:r w:rsidR="002D753D" w:rsidRPr="00777040">
        <w:rPr>
          <w:rFonts w:ascii="Times New Roman" w:hAnsi="Times New Roman"/>
          <w:sz w:val="24"/>
          <w:szCs w:val="24"/>
        </w:rPr>
        <w:t>ного в течение отчетного месяца.</w:t>
      </w:r>
    </w:p>
    <w:p w:rsidR="00CF4136" w:rsidRPr="00777040" w:rsidRDefault="00AF15A2" w:rsidP="00CF4136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«Объем вновь привлеченных вкладов (депозитов)» – </w:t>
      </w:r>
      <w:r w:rsidRPr="00777040">
        <w:rPr>
          <w:rFonts w:ascii="Times New Roman" w:hAnsi="Times New Roman"/>
          <w:sz w:val="24"/>
          <w:szCs w:val="24"/>
        </w:rPr>
        <w:t>указывается о</w:t>
      </w:r>
      <w:r w:rsidRPr="00777040">
        <w:rPr>
          <w:rFonts w:ascii="Times New Roman" w:hAnsi="Times New Roman"/>
          <w:bCs/>
          <w:sz w:val="24"/>
          <w:szCs w:val="24"/>
        </w:rPr>
        <w:t xml:space="preserve">бъем вкладов (депозитов) банка-участника, привлеченный за отчетный месяц по каждой категории </w:t>
      </w:r>
      <w:r w:rsidR="00C84BC2" w:rsidRPr="00777040">
        <w:rPr>
          <w:rFonts w:ascii="Times New Roman" w:hAnsi="Times New Roman"/>
          <w:bCs/>
          <w:sz w:val="24"/>
          <w:szCs w:val="24"/>
        </w:rPr>
        <w:t xml:space="preserve">вклада </w:t>
      </w:r>
      <w:r w:rsidR="002D753D" w:rsidRPr="00777040">
        <w:rPr>
          <w:rFonts w:ascii="Times New Roman" w:hAnsi="Times New Roman"/>
          <w:bCs/>
          <w:sz w:val="24"/>
          <w:szCs w:val="24"/>
        </w:rPr>
        <w:t>с плавающей процентной ставкой</w:t>
      </w:r>
      <w:r w:rsidRPr="00777040">
        <w:rPr>
          <w:rFonts w:ascii="Times New Roman" w:hAnsi="Times New Roman"/>
          <w:bCs/>
          <w:sz w:val="24"/>
          <w:szCs w:val="24"/>
        </w:rPr>
        <w:t>.</w:t>
      </w:r>
      <w:r w:rsidR="00CF4136" w:rsidRPr="00777040">
        <w:rPr>
          <w:rFonts w:ascii="Times New Roman" w:hAnsi="Times New Roman"/>
          <w:bCs/>
          <w:sz w:val="24"/>
          <w:szCs w:val="24"/>
        </w:rPr>
        <w:t xml:space="preserve"> При расчете объема вновь привлеченных депозитов за отчетный месяц учитываются </w:t>
      </w:r>
      <w:r w:rsidR="00CF4136" w:rsidRPr="00777040">
        <w:rPr>
          <w:rFonts w:ascii="Times New Roman" w:hAnsi="Times New Roman"/>
          <w:b/>
          <w:bCs/>
          <w:sz w:val="24"/>
          <w:szCs w:val="24"/>
        </w:rPr>
        <w:t>все притоки</w:t>
      </w:r>
      <w:r w:rsidR="00CF4136" w:rsidRPr="00777040">
        <w:rPr>
          <w:rFonts w:ascii="Times New Roman" w:hAnsi="Times New Roman"/>
          <w:bCs/>
          <w:sz w:val="24"/>
          <w:szCs w:val="24"/>
        </w:rPr>
        <w:t xml:space="preserve"> по вновь привлеченному депозиту за отчетный месяц.</w:t>
      </w:r>
    </w:p>
    <w:p w:rsidR="00CF4136" w:rsidRPr="00777040" w:rsidRDefault="00CF4136" w:rsidP="00CF4136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Вновь привлеченные депозиты в иностранной валюте с плавающей процентной ставкой должны быть пересчитаны по курсу Н</w:t>
      </w:r>
      <w:r w:rsidR="00BB5FD9" w:rsidRPr="00777040">
        <w:rPr>
          <w:rFonts w:ascii="Times New Roman" w:hAnsi="Times New Roman"/>
          <w:bCs/>
          <w:sz w:val="24"/>
          <w:szCs w:val="24"/>
        </w:rPr>
        <w:t xml:space="preserve">Б РК, действовавшего </w:t>
      </w:r>
      <w:r w:rsidR="003574DF" w:rsidRPr="003574DF">
        <w:rPr>
          <w:rStyle w:val="s0"/>
          <w:b/>
          <w:sz w:val="24"/>
          <w:szCs w:val="24"/>
        </w:rPr>
        <w:t>на дату привлечения депозита в иностранной валюте</w:t>
      </w:r>
      <w:r w:rsidR="00BB5FD9" w:rsidRPr="00777040">
        <w:rPr>
          <w:rFonts w:ascii="Times New Roman" w:hAnsi="Times New Roman"/>
          <w:b/>
          <w:bCs/>
          <w:sz w:val="24"/>
          <w:szCs w:val="24"/>
        </w:rPr>
        <w:t>.</w:t>
      </w:r>
    </w:p>
    <w:p w:rsidR="006440F8" w:rsidRPr="00777040" w:rsidRDefault="006440F8" w:rsidP="006440F8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«Спред» – </w:t>
      </w:r>
      <w:r w:rsidRPr="00777040">
        <w:rPr>
          <w:rFonts w:ascii="Times New Roman" w:hAnsi="Times New Roman"/>
          <w:sz w:val="24"/>
          <w:szCs w:val="24"/>
        </w:rPr>
        <w:t xml:space="preserve">указывается значение ставки процентного спрэда, который рассчитывается и устанавливается банком самостоятельно </w:t>
      </w:r>
      <w:r w:rsidRPr="00777040">
        <w:rPr>
          <w:rFonts w:ascii="Times New Roman" w:hAnsi="Times New Roman"/>
          <w:bCs/>
          <w:sz w:val="24"/>
          <w:szCs w:val="24"/>
        </w:rPr>
        <w:t>по каждой категории вклада с плавающей процентной ставкой.</w:t>
      </w:r>
    </w:p>
    <w:p w:rsidR="00AF15A2" w:rsidRPr="00777040" w:rsidRDefault="00AF15A2" w:rsidP="00AF15A2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«Максимальная ставка*» – </w:t>
      </w:r>
      <w:r w:rsidRPr="00777040">
        <w:rPr>
          <w:rFonts w:ascii="Times New Roman" w:hAnsi="Times New Roman"/>
          <w:sz w:val="24"/>
          <w:szCs w:val="24"/>
        </w:rPr>
        <w:t>указывается максимальная годовая эффективная ставка вознаграждения внутри каждой категории вклада, привлечен</w:t>
      </w:r>
      <w:r w:rsidR="002D753D" w:rsidRPr="00777040">
        <w:rPr>
          <w:rFonts w:ascii="Times New Roman" w:hAnsi="Times New Roman"/>
          <w:sz w:val="24"/>
          <w:szCs w:val="24"/>
        </w:rPr>
        <w:t>ного в течение отчетного месяца</w:t>
      </w:r>
      <w:r w:rsidRPr="00777040">
        <w:rPr>
          <w:rFonts w:ascii="Times New Roman" w:hAnsi="Times New Roman"/>
          <w:sz w:val="24"/>
          <w:szCs w:val="24"/>
        </w:rPr>
        <w:t>.</w:t>
      </w:r>
      <w:r w:rsidR="00791A40">
        <w:rPr>
          <w:rFonts w:ascii="Times New Roman" w:hAnsi="Times New Roman"/>
          <w:sz w:val="24"/>
          <w:szCs w:val="24"/>
        </w:rPr>
        <w:t xml:space="preserve"> </w:t>
      </w:r>
    </w:p>
    <w:p w:rsidR="00330A2A" w:rsidRPr="00D84489" w:rsidRDefault="00330A2A" w:rsidP="00330A2A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330A2A" w:rsidRPr="00D84489" w:rsidSect="00F43BCF">
      <w:pgSz w:w="11906" w:h="16838"/>
      <w:pgMar w:top="993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1C" w:rsidRDefault="006E1A1C" w:rsidP="00530089">
      <w:r>
        <w:separator/>
      </w:r>
    </w:p>
  </w:endnote>
  <w:endnote w:type="continuationSeparator" w:id="0">
    <w:p w:rsidR="006E1A1C" w:rsidRDefault="006E1A1C" w:rsidP="0053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1C" w:rsidRDefault="006E1A1C" w:rsidP="00530089">
      <w:r>
        <w:separator/>
      </w:r>
    </w:p>
  </w:footnote>
  <w:footnote w:type="continuationSeparator" w:id="0">
    <w:p w:rsidR="006E1A1C" w:rsidRDefault="006E1A1C" w:rsidP="00530089">
      <w:r>
        <w:continuationSeparator/>
      </w:r>
    </w:p>
  </w:footnote>
  <w:footnote w:id="1">
    <w:p w:rsidR="00530089" w:rsidRPr="00530089" w:rsidRDefault="00530089" w:rsidP="00530089">
      <w:pPr>
        <w:pStyle w:val="a3"/>
        <w:jc w:val="both"/>
        <w:rPr>
          <w:rFonts w:ascii="Times New Roman" w:hAnsi="Times New Roman"/>
          <w:i/>
        </w:rPr>
      </w:pPr>
      <w:r w:rsidRPr="00530089">
        <w:rPr>
          <w:rStyle w:val="a5"/>
          <w:rFonts w:ascii="Times New Roman" w:hAnsi="Times New Roman"/>
          <w:i/>
        </w:rPr>
        <w:footnoteRef/>
      </w:r>
      <w:r w:rsidRPr="00530089">
        <w:rPr>
          <w:rFonts w:ascii="Times New Roman" w:hAnsi="Times New Roman"/>
          <w:i/>
        </w:rPr>
        <w:t xml:space="preserve"> Правила определения размера и порядка уплаты обязательных календарных, дополнительных и чрезвычайных взносов, утвержденны</w:t>
      </w:r>
      <w:r>
        <w:rPr>
          <w:rFonts w:ascii="Times New Roman" w:hAnsi="Times New Roman"/>
          <w:i/>
        </w:rPr>
        <w:t>е</w:t>
      </w:r>
      <w:r w:rsidRPr="00530089">
        <w:rPr>
          <w:rFonts w:ascii="Times New Roman" w:hAnsi="Times New Roman"/>
          <w:i/>
        </w:rPr>
        <w:t xml:space="preserve"> решением Совета директоров АО "Казахстанский фонд гарантирования депозитов"  от  30 октября 2006 г. (протокол № 32) </w:t>
      </w:r>
      <w:r w:rsidR="004073B6">
        <w:rPr>
          <w:rFonts w:ascii="Times New Roman" w:hAnsi="Times New Roman"/>
          <w:i/>
        </w:rPr>
        <w:t>.</w:t>
      </w:r>
      <w:r w:rsidRPr="00530089">
        <w:rPr>
          <w:rFonts w:ascii="Times New Roman" w:hAnsi="Times New Roman"/>
          <w:i/>
        </w:rPr>
        <w:t xml:space="preserve">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E1E"/>
    <w:multiLevelType w:val="hybridMultilevel"/>
    <w:tmpl w:val="EDF8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E48AF"/>
    <w:multiLevelType w:val="hybridMultilevel"/>
    <w:tmpl w:val="087E3F04"/>
    <w:lvl w:ilvl="0" w:tplc="49C0BE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C06565"/>
    <w:multiLevelType w:val="hybridMultilevel"/>
    <w:tmpl w:val="266E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901C0"/>
    <w:multiLevelType w:val="hybridMultilevel"/>
    <w:tmpl w:val="266E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8"/>
    <w:rsid w:val="00010E4E"/>
    <w:rsid w:val="00013BCF"/>
    <w:rsid w:val="00030E32"/>
    <w:rsid w:val="00037842"/>
    <w:rsid w:val="000434A3"/>
    <w:rsid w:val="0009403A"/>
    <w:rsid w:val="0009459A"/>
    <w:rsid w:val="00095DD8"/>
    <w:rsid w:val="000B56AF"/>
    <w:rsid w:val="000C6807"/>
    <w:rsid w:val="001221A4"/>
    <w:rsid w:val="00126A47"/>
    <w:rsid w:val="0015274B"/>
    <w:rsid w:val="00174482"/>
    <w:rsid w:val="00192F90"/>
    <w:rsid w:val="00193E5D"/>
    <w:rsid w:val="001C3C9A"/>
    <w:rsid w:val="001D4D24"/>
    <w:rsid w:val="001E44EE"/>
    <w:rsid w:val="002048E3"/>
    <w:rsid w:val="00214E5E"/>
    <w:rsid w:val="002328EF"/>
    <w:rsid w:val="00266B26"/>
    <w:rsid w:val="0028064C"/>
    <w:rsid w:val="00281311"/>
    <w:rsid w:val="002A1D33"/>
    <w:rsid w:val="002D753D"/>
    <w:rsid w:val="00330A2A"/>
    <w:rsid w:val="0033137A"/>
    <w:rsid w:val="0033612C"/>
    <w:rsid w:val="003574DF"/>
    <w:rsid w:val="00370D92"/>
    <w:rsid w:val="003A4F5D"/>
    <w:rsid w:val="003A794A"/>
    <w:rsid w:val="003D4E0E"/>
    <w:rsid w:val="004073B6"/>
    <w:rsid w:val="004114D6"/>
    <w:rsid w:val="00414F51"/>
    <w:rsid w:val="00424017"/>
    <w:rsid w:val="0047133F"/>
    <w:rsid w:val="0048494C"/>
    <w:rsid w:val="0048661F"/>
    <w:rsid w:val="004A0799"/>
    <w:rsid w:val="004A43D8"/>
    <w:rsid w:val="004B04C7"/>
    <w:rsid w:val="004E0D06"/>
    <w:rsid w:val="00500C35"/>
    <w:rsid w:val="00506CB7"/>
    <w:rsid w:val="00510F60"/>
    <w:rsid w:val="00530089"/>
    <w:rsid w:val="005307B0"/>
    <w:rsid w:val="005314FB"/>
    <w:rsid w:val="00534AAC"/>
    <w:rsid w:val="005361AE"/>
    <w:rsid w:val="00542921"/>
    <w:rsid w:val="005B251B"/>
    <w:rsid w:val="005D22AC"/>
    <w:rsid w:val="005D6381"/>
    <w:rsid w:val="005E69CC"/>
    <w:rsid w:val="006166EB"/>
    <w:rsid w:val="0062082F"/>
    <w:rsid w:val="00625F1E"/>
    <w:rsid w:val="006440F8"/>
    <w:rsid w:val="006447AC"/>
    <w:rsid w:val="0066186D"/>
    <w:rsid w:val="00662324"/>
    <w:rsid w:val="0066731D"/>
    <w:rsid w:val="00681ED0"/>
    <w:rsid w:val="0068317A"/>
    <w:rsid w:val="00687528"/>
    <w:rsid w:val="00692B6A"/>
    <w:rsid w:val="00695F61"/>
    <w:rsid w:val="006B2C29"/>
    <w:rsid w:val="006B35C6"/>
    <w:rsid w:val="006C657F"/>
    <w:rsid w:val="006D306A"/>
    <w:rsid w:val="006D4DE0"/>
    <w:rsid w:val="006E1A1C"/>
    <w:rsid w:val="006E6C0A"/>
    <w:rsid w:val="00701160"/>
    <w:rsid w:val="00702468"/>
    <w:rsid w:val="007036FE"/>
    <w:rsid w:val="00704550"/>
    <w:rsid w:val="00737E96"/>
    <w:rsid w:val="0074173C"/>
    <w:rsid w:val="00755FBE"/>
    <w:rsid w:val="00774E08"/>
    <w:rsid w:val="00777040"/>
    <w:rsid w:val="00791A40"/>
    <w:rsid w:val="007B38CC"/>
    <w:rsid w:val="007B45E7"/>
    <w:rsid w:val="007C284E"/>
    <w:rsid w:val="007C2866"/>
    <w:rsid w:val="007E0667"/>
    <w:rsid w:val="007F76F3"/>
    <w:rsid w:val="00882F9A"/>
    <w:rsid w:val="008B356D"/>
    <w:rsid w:val="008E0968"/>
    <w:rsid w:val="008E1525"/>
    <w:rsid w:val="008F7497"/>
    <w:rsid w:val="00902CCB"/>
    <w:rsid w:val="00906349"/>
    <w:rsid w:val="00923FBE"/>
    <w:rsid w:val="00946927"/>
    <w:rsid w:val="00962581"/>
    <w:rsid w:val="00971571"/>
    <w:rsid w:val="00996D6B"/>
    <w:rsid w:val="009C4762"/>
    <w:rsid w:val="009D77CE"/>
    <w:rsid w:val="009F5F4F"/>
    <w:rsid w:val="00A05F3D"/>
    <w:rsid w:val="00A12053"/>
    <w:rsid w:val="00A14EBA"/>
    <w:rsid w:val="00A21343"/>
    <w:rsid w:val="00A67F9F"/>
    <w:rsid w:val="00A74B42"/>
    <w:rsid w:val="00A761F4"/>
    <w:rsid w:val="00A81722"/>
    <w:rsid w:val="00A8367F"/>
    <w:rsid w:val="00A95A83"/>
    <w:rsid w:val="00AA1059"/>
    <w:rsid w:val="00AA4698"/>
    <w:rsid w:val="00AA4F64"/>
    <w:rsid w:val="00AD5EE5"/>
    <w:rsid w:val="00AE19F4"/>
    <w:rsid w:val="00AF0C08"/>
    <w:rsid w:val="00AF15A2"/>
    <w:rsid w:val="00AF65D3"/>
    <w:rsid w:val="00B13D7A"/>
    <w:rsid w:val="00B26403"/>
    <w:rsid w:val="00B46B1A"/>
    <w:rsid w:val="00B53EE2"/>
    <w:rsid w:val="00B728A8"/>
    <w:rsid w:val="00BA4A8D"/>
    <w:rsid w:val="00BA601C"/>
    <w:rsid w:val="00BB4693"/>
    <w:rsid w:val="00BB5FD9"/>
    <w:rsid w:val="00BB7621"/>
    <w:rsid w:val="00BC2249"/>
    <w:rsid w:val="00BD5E43"/>
    <w:rsid w:val="00BE2F4E"/>
    <w:rsid w:val="00C06D86"/>
    <w:rsid w:val="00C11C6E"/>
    <w:rsid w:val="00C21D7D"/>
    <w:rsid w:val="00C2243C"/>
    <w:rsid w:val="00C3265D"/>
    <w:rsid w:val="00C3317E"/>
    <w:rsid w:val="00C51332"/>
    <w:rsid w:val="00C634B5"/>
    <w:rsid w:val="00C75A05"/>
    <w:rsid w:val="00C76408"/>
    <w:rsid w:val="00C84BC2"/>
    <w:rsid w:val="00CB6AF4"/>
    <w:rsid w:val="00CD1E64"/>
    <w:rsid w:val="00CE4E67"/>
    <w:rsid w:val="00CF3A1A"/>
    <w:rsid w:val="00CF4136"/>
    <w:rsid w:val="00D008BE"/>
    <w:rsid w:val="00D16B8E"/>
    <w:rsid w:val="00D46CE3"/>
    <w:rsid w:val="00D5004A"/>
    <w:rsid w:val="00D53B8C"/>
    <w:rsid w:val="00D61B0A"/>
    <w:rsid w:val="00D84489"/>
    <w:rsid w:val="00D97126"/>
    <w:rsid w:val="00DB027E"/>
    <w:rsid w:val="00DB048E"/>
    <w:rsid w:val="00DB1A93"/>
    <w:rsid w:val="00DC3E60"/>
    <w:rsid w:val="00DD107B"/>
    <w:rsid w:val="00DD4526"/>
    <w:rsid w:val="00DD48B8"/>
    <w:rsid w:val="00DD508F"/>
    <w:rsid w:val="00DE3E54"/>
    <w:rsid w:val="00E218BC"/>
    <w:rsid w:val="00E35BC0"/>
    <w:rsid w:val="00E42BDB"/>
    <w:rsid w:val="00E4448C"/>
    <w:rsid w:val="00E607BF"/>
    <w:rsid w:val="00E6347E"/>
    <w:rsid w:val="00E84D81"/>
    <w:rsid w:val="00E9450B"/>
    <w:rsid w:val="00EA62D7"/>
    <w:rsid w:val="00EA79FE"/>
    <w:rsid w:val="00EC4788"/>
    <w:rsid w:val="00F03740"/>
    <w:rsid w:val="00F22A3B"/>
    <w:rsid w:val="00F30484"/>
    <w:rsid w:val="00F34254"/>
    <w:rsid w:val="00F37C0C"/>
    <w:rsid w:val="00F404FE"/>
    <w:rsid w:val="00F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D1E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footnote text"/>
    <w:basedOn w:val="a"/>
    <w:link w:val="a4"/>
    <w:uiPriority w:val="99"/>
    <w:semiHidden/>
    <w:unhideWhenUsed/>
    <w:rsid w:val="005300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089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089"/>
    <w:rPr>
      <w:vertAlign w:val="superscript"/>
    </w:rPr>
  </w:style>
  <w:style w:type="paragraph" w:styleId="a6">
    <w:name w:val="List Paragraph"/>
    <w:basedOn w:val="a"/>
    <w:uiPriority w:val="34"/>
    <w:qFormat/>
    <w:rsid w:val="00A836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D1E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footnote text"/>
    <w:basedOn w:val="a"/>
    <w:link w:val="a4"/>
    <w:uiPriority w:val="99"/>
    <w:semiHidden/>
    <w:unhideWhenUsed/>
    <w:rsid w:val="005300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089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089"/>
    <w:rPr>
      <w:vertAlign w:val="superscript"/>
    </w:rPr>
  </w:style>
  <w:style w:type="paragraph" w:styleId="a6">
    <w:name w:val="List Paragraph"/>
    <w:basedOn w:val="a"/>
    <w:uiPriority w:val="34"/>
    <w:qFormat/>
    <w:rsid w:val="00A836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9FA4-BF2A-4FC2-97B1-12239AFA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Назым Раева</cp:lastModifiedBy>
  <cp:revision>34</cp:revision>
  <cp:lastPrinted>2017-01-13T04:48:00Z</cp:lastPrinted>
  <dcterms:created xsi:type="dcterms:W3CDTF">2018-10-30T05:36:00Z</dcterms:created>
  <dcterms:modified xsi:type="dcterms:W3CDTF">2019-05-31T11:06:00Z</dcterms:modified>
</cp:coreProperties>
</file>